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A7D" w:rsidRPr="008761D2" w:rsidRDefault="00EC37A5">
      <w:pPr>
        <w:rPr>
          <w:b/>
          <w:sz w:val="24"/>
          <w:szCs w:val="20"/>
        </w:rPr>
      </w:pPr>
      <w:r w:rsidRPr="008761D2">
        <w:rPr>
          <w:b/>
          <w:sz w:val="24"/>
          <w:szCs w:val="20"/>
        </w:rPr>
        <w:t>Jen 2</w:t>
      </w:r>
      <w:r w:rsidR="006E31DC" w:rsidRPr="008761D2">
        <w:rPr>
          <w:b/>
          <w:sz w:val="24"/>
          <w:szCs w:val="20"/>
        </w:rPr>
        <w:t xml:space="preserve"> </w:t>
      </w:r>
      <w:r w:rsidRPr="008761D2">
        <w:rPr>
          <w:b/>
          <w:sz w:val="24"/>
          <w:szCs w:val="20"/>
        </w:rPr>
        <w:t>% řidičů se naplno věnuje řízení vozidla!</w:t>
      </w:r>
    </w:p>
    <w:p w:rsidR="008761D2" w:rsidRDefault="008761D2">
      <w:pPr>
        <w:rPr>
          <w:b/>
          <w:sz w:val="20"/>
          <w:szCs w:val="20"/>
        </w:rPr>
      </w:pPr>
    </w:p>
    <w:p w:rsidR="00E73A7D" w:rsidRPr="008761D2" w:rsidRDefault="00EC37A5" w:rsidP="008761D2">
      <w:pPr>
        <w:jc w:val="both"/>
        <w:rPr>
          <w:b/>
          <w:sz w:val="20"/>
          <w:szCs w:val="20"/>
        </w:rPr>
      </w:pPr>
      <w:r w:rsidRPr="008761D2">
        <w:rPr>
          <w:b/>
          <w:sz w:val="20"/>
          <w:szCs w:val="20"/>
        </w:rPr>
        <w:t xml:space="preserve">Dle červencového průzkumu společnosti </w:t>
      </w:r>
      <w:proofErr w:type="spellStart"/>
      <w:r w:rsidRPr="008761D2">
        <w:rPr>
          <w:b/>
          <w:sz w:val="20"/>
          <w:szCs w:val="20"/>
        </w:rPr>
        <w:t>Saferoad</w:t>
      </w:r>
      <w:proofErr w:type="spellEnd"/>
      <w:r w:rsidRPr="008761D2">
        <w:rPr>
          <w:b/>
          <w:sz w:val="20"/>
          <w:szCs w:val="20"/>
        </w:rPr>
        <w:t xml:space="preserve">, který realizovala výzkumná agentura Ipsos a byl zaměřen na české řidiče ve věku 18-65 let bylo zjištěno, že pouze </w:t>
      </w:r>
      <w:r w:rsidR="00635752" w:rsidRPr="008761D2">
        <w:rPr>
          <w:b/>
          <w:sz w:val="20"/>
          <w:szCs w:val="20"/>
        </w:rPr>
        <w:t>2</w:t>
      </w:r>
      <w:r w:rsidRPr="008761D2">
        <w:rPr>
          <w:b/>
          <w:sz w:val="20"/>
          <w:szCs w:val="20"/>
        </w:rPr>
        <w:t xml:space="preserve"> %</w:t>
      </w:r>
      <w:r w:rsidR="00105620" w:rsidRPr="008761D2">
        <w:rPr>
          <w:b/>
          <w:sz w:val="20"/>
          <w:szCs w:val="20"/>
        </w:rPr>
        <w:t xml:space="preserve"> řidičů se při jízdě plně věnuje řízení vozidla.</w:t>
      </w:r>
    </w:p>
    <w:p w:rsidR="00E73A7D" w:rsidRDefault="00E73A7D" w:rsidP="008761D2">
      <w:pPr>
        <w:jc w:val="both"/>
        <w:rPr>
          <w:sz w:val="20"/>
          <w:szCs w:val="20"/>
        </w:rPr>
      </w:pPr>
    </w:p>
    <w:p w:rsidR="00E73A7D" w:rsidRDefault="00EC37A5" w:rsidP="008761D2">
      <w:pPr>
        <w:jc w:val="both"/>
        <w:rPr>
          <w:sz w:val="20"/>
          <w:szCs w:val="20"/>
        </w:rPr>
      </w:pPr>
      <w:r>
        <w:rPr>
          <w:sz w:val="20"/>
          <w:szCs w:val="20"/>
        </w:rPr>
        <w:t>Hlavním cílem průzkumu bylo zmapovat, jakým činnostem se během řízení čeští řidiči věnují, jak často a jaké faktory chování řidičů ovlivňují nehodovost.</w:t>
      </w:r>
    </w:p>
    <w:p w:rsidR="00E73A7D" w:rsidRDefault="00E73A7D" w:rsidP="008761D2">
      <w:pPr>
        <w:jc w:val="both"/>
        <w:rPr>
          <w:sz w:val="20"/>
          <w:szCs w:val="20"/>
        </w:rPr>
      </w:pPr>
    </w:p>
    <w:p w:rsidR="00E73A7D" w:rsidRDefault="00EC37A5" w:rsidP="008761D2">
      <w:pPr>
        <w:jc w:val="both"/>
        <w:rPr>
          <w:sz w:val="20"/>
          <w:szCs w:val="20"/>
        </w:rPr>
      </w:pPr>
      <w:r>
        <w:rPr>
          <w:sz w:val="20"/>
          <w:szCs w:val="20"/>
        </w:rPr>
        <w:t xml:space="preserve">Mezi nejčastější </w:t>
      </w:r>
      <w:r w:rsidR="00105620">
        <w:rPr>
          <w:sz w:val="20"/>
          <w:szCs w:val="20"/>
        </w:rPr>
        <w:t xml:space="preserve">„rozptylující </w:t>
      </w:r>
      <w:r>
        <w:rPr>
          <w:sz w:val="20"/>
          <w:szCs w:val="20"/>
        </w:rPr>
        <w:t>činnosti</w:t>
      </w:r>
      <w:r w:rsidR="00105620">
        <w:rPr>
          <w:sz w:val="20"/>
          <w:szCs w:val="20"/>
        </w:rPr>
        <w:t>“</w:t>
      </w:r>
      <w:r>
        <w:rPr>
          <w:sz w:val="20"/>
          <w:szCs w:val="20"/>
        </w:rPr>
        <w:t xml:space="preserve">, kterým se řidiči věnují při řízení patří především </w:t>
      </w:r>
      <w:r w:rsidR="00105620">
        <w:rPr>
          <w:sz w:val="20"/>
          <w:szCs w:val="20"/>
        </w:rPr>
        <w:t xml:space="preserve">používání </w:t>
      </w:r>
      <w:r>
        <w:rPr>
          <w:b/>
          <w:sz w:val="20"/>
          <w:szCs w:val="20"/>
        </w:rPr>
        <w:t>mobilní</w:t>
      </w:r>
      <w:r w:rsidR="00105620">
        <w:rPr>
          <w:b/>
          <w:sz w:val="20"/>
          <w:szCs w:val="20"/>
        </w:rPr>
        <w:t>ho</w:t>
      </w:r>
      <w:r>
        <w:rPr>
          <w:b/>
          <w:sz w:val="20"/>
          <w:szCs w:val="20"/>
        </w:rPr>
        <w:t xml:space="preserve"> telefon</w:t>
      </w:r>
      <w:r w:rsidR="00105620">
        <w:rPr>
          <w:b/>
          <w:sz w:val="20"/>
          <w:szCs w:val="20"/>
        </w:rPr>
        <w:t>u</w:t>
      </w:r>
      <w:r>
        <w:rPr>
          <w:b/>
          <w:sz w:val="20"/>
          <w:szCs w:val="20"/>
        </w:rPr>
        <w:t>, ke kterému uchyluje svoji pozornost až 36</w:t>
      </w:r>
      <w:r w:rsidR="006E31DC">
        <w:rPr>
          <w:b/>
          <w:sz w:val="20"/>
          <w:szCs w:val="20"/>
        </w:rPr>
        <w:t xml:space="preserve"> </w:t>
      </w:r>
      <w:r>
        <w:rPr>
          <w:b/>
          <w:sz w:val="20"/>
          <w:szCs w:val="20"/>
        </w:rPr>
        <w:t>% respondentů</w:t>
      </w:r>
      <w:r w:rsidR="00BC49A6">
        <w:rPr>
          <w:b/>
          <w:sz w:val="20"/>
          <w:szCs w:val="20"/>
        </w:rPr>
        <w:t>,</w:t>
      </w:r>
      <w:r>
        <w:rPr>
          <w:sz w:val="20"/>
          <w:szCs w:val="20"/>
        </w:rPr>
        <w:t xml:space="preserve"> a to s velmi vysokou </w:t>
      </w:r>
      <w:r w:rsidR="00BC49A6">
        <w:rPr>
          <w:sz w:val="20"/>
          <w:szCs w:val="20"/>
        </w:rPr>
        <w:t>frekvencí – při</w:t>
      </w:r>
      <w:r>
        <w:rPr>
          <w:sz w:val="20"/>
          <w:szCs w:val="20"/>
        </w:rPr>
        <w:t xml:space="preserve"> každé jízdě/často. Mezi další časté činnosti patří intenzivní komunikace se spolujezdci, konzumace jídla a nápojů, kouře</w:t>
      </w:r>
      <w:r w:rsidR="00105620">
        <w:rPr>
          <w:sz w:val="20"/>
          <w:szCs w:val="20"/>
        </w:rPr>
        <w:t>ní při jízdě, usměrňování dětí a ovládání navigace.</w:t>
      </w:r>
    </w:p>
    <w:p w:rsidR="00E73A7D" w:rsidRDefault="00E73A7D" w:rsidP="008761D2">
      <w:pPr>
        <w:jc w:val="both"/>
        <w:rPr>
          <w:sz w:val="20"/>
          <w:szCs w:val="20"/>
        </w:rPr>
      </w:pPr>
    </w:p>
    <w:p w:rsidR="00E73A7D" w:rsidRDefault="00EC37A5" w:rsidP="008761D2">
      <w:pPr>
        <w:jc w:val="both"/>
        <w:rPr>
          <w:sz w:val="20"/>
          <w:szCs w:val="20"/>
        </w:rPr>
      </w:pPr>
      <w:r>
        <w:rPr>
          <w:sz w:val="20"/>
          <w:szCs w:val="20"/>
          <w:highlight w:val="white"/>
        </w:rPr>
        <w:t>Mezi činnosti</w:t>
      </w:r>
      <w:r w:rsidR="00105620">
        <w:rPr>
          <w:sz w:val="20"/>
          <w:szCs w:val="20"/>
          <w:highlight w:val="white"/>
        </w:rPr>
        <w:t>, kterým se věnujeme méně, ale ani</w:t>
      </w:r>
      <w:r>
        <w:rPr>
          <w:sz w:val="20"/>
          <w:szCs w:val="20"/>
          <w:highlight w:val="white"/>
        </w:rPr>
        <w:t xml:space="preserve"> tak to není zanedbatelné (cca 10</w:t>
      </w:r>
      <w:r w:rsidR="006E31DC">
        <w:rPr>
          <w:sz w:val="20"/>
          <w:szCs w:val="20"/>
          <w:highlight w:val="white"/>
        </w:rPr>
        <w:t xml:space="preserve"> </w:t>
      </w:r>
      <w:r>
        <w:rPr>
          <w:sz w:val="20"/>
          <w:szCs w:val="20"/>
          <w:highlight w:val="white"/>
        </w:rPr>
        <w:t>% řidičů), patří hlazení domácích mazlíčků při jízdě nebo líbání s</w:t>
      </w:r>
      <w:r w:rsidR="00105620">
        <w:rPr>
          <w:sz w:val="20"/>
          <w:szCs w:val="20"/>
          <w:highlight w:val="white"/>
        </w:rPr>
        <w:t>e s</w:t>
      </w:r>
      <w:r>
        <w:rPr>
          <w:sz w:val="20"/>
          <w:szCs w:val="20"/>
          <w:highlight w:val="white"/>
        </w:rPr>
        <w:t xml:space="preserve"> partnerem či s partnerkou. Ačkoliv hlazení domácích mazlíčků nebo líbání může mít na někoho při jízdě uklidňující efekt, určitě se jedná o činnosti, které naši pozornost za volantem rozptylují.</w:t>
      </w:r>
    </w:p>
    <w:p w:rsidR="00E73A7D" w:rsidRDefault="00E73A7D" w:rsidP="008761D2">
      <w:pPr>
        <w:jc w:val="both"/>
        <w:rPr>
          <w:sz w:val="20"/>
          <w:szCs w:val="20"/>
        </w:rPr>
      </w:pPr>
    </w:p>
    <w:p w:rsidR="00E73A7D" w:rsidRPr="00347ACC" w:rsidRDefault="00EC37A5" w:rsidP="008761D2">
      <w:pPr>
        <w:spacing w:line="331" w:lineRule="auto"/>
        <w:jc w:val="both"/>
        <w:rPr>
          <w:sz w:val="20"/>
          <w:szCs w:val="20"/>
        </w:rPr>
      </w:pPr>
      <w:r w:rsidRPr="00347ACC">
        <w:rPr>
          <w:sz w:val="20"/>
          <w:szCs w:val="20"/>
        </w:rPr>
        <w:t xml:space="preserve">Průzkum </w:t>
      </w:r>
      <w:proofErr w:type="spellStart"/>
      <w:r w:rsidR="009E2B97" w:rsidRPr="00347ACC">
        <w:rPr>
          <w:sz w:val="20"/>
          <w:szCs w:val="20"/>
        </w:rPr>
        <w:t>Ipsosu</w:t>
      </w:r>
      <w:proofErr w:type="spellEnd"/>
      <w:r w:rsidR="009E2B97" w:rsidRPr="00347ACC">
        <w:rPr>
          <w:sz w:val="20"/>
          <w:szCs w:val="20"/>
        </w:rPr>
        <w:t xml:space="preserve"> </w:t>
      </w:r>
      <w:r w:rsidRPr="00347ACC">
        <w:rPr>
          <w:sz w:val="20"/>
          <w:szCs w:val="20"/>
        </w:rPr>
        <w:t xml:space="preserve">potvrdil i to, že </w:t>
      </w:r>
      <w:r w:rsidR="006E31DC" w:rsidRPr="00347ACC">
        <w:rPr>
          <w:sz w:val="20"/>
          <w:szCs w:val="20"/>
        </w:rPr>
        <w:t xml:space="preserve">dle respondentů jsou </w:t>
      </w:r>
      <w:r w:rsidRPr="00347ACC">
        <w:rPr>
          <w:b/>
          <w:sz w:val="20"/>
          <w:szCs w:val="20"/>
        </w:rPr>
        <w:t>z</w:t>
      </w:r>
      <w:r w:rsidR="006E31DC" w:rsidRPr="00347ACC">
        <w:rPr>
          <w:b/>
          <w:sz w:val="20"/>
          <w:szCs w:val="20"/>
        </w:rPr>
        <w:t> </w:t>
      </w:r>
      <w:r w:rsidRPr="00347ACC">
        <w:rPr>
          <w:b/>
          <w:sz w:val="20"/>
          <w:szCs w:val="20"/>
        </w:rPr>
        <w:t>83</w:t>
      </w:r>
      <w:r w:rsidR="006E31DC" w:rsidRPr="00347ACC">
        <w:rPr>
          <w:b/>
          <w:sz w:val="20"/>
          <w:szCs w:val="20"/>
        </w:rPr>
        <w:t xml:space="preserve"> </w:t>
      </w:r>
      <w:r w:rsidRPr="00347ACC">
        <w:rPr>
          <w:b/>
          <w:sz w:val="20"/>
          <w:szCs w:val="20"/>
        </w:rPr>
        <w:t>% řidiči hlavní</w:t>
      </w:r>
      <w:r w:rsidR="006E31DC" w:rsidRPr="00347ACC">
        <w:rPr>
          <w:b/>
          <w:sz w:val="20"/>
          <w:szCs w:val="20"/>
        </w:rPr>
        <w:t>m</w:t>
      </w:r>
      <w:r w:rsidRPr="00347ACC">
        <w:rPr>
          <w:b/>
          <w:sz w:val="20"/>
          <w:szCs w:val="20"/>
        </w:rPr>
        <w:t xml:space="preserve"> faktor</w:t>
      </w:r>
      <w:r w:rsidR="006E31DC" w:rsidRPr="00347ACC">
        <w:rPr>
          <w:b/>
          <w:sz w:val="20"/>
          <w:szCs w:val="20"/>
        </w:rPr>
        <w:t>em</w:t>
      </w:r>
      <w:r w:rsidRPr="00347ACC">
        <w:rPr>
          <w:b/>
          <w:sz w:val="20"/>
          <w:szCs w:val="20"/>
        </w:rPr>
        <w:t xml:space="preserve"> nehodovosti.</w:t>
      </w:r>
      <w:r w:rsidR="00105620">
        <w:rPr>
          <w:sz w:val="20"/>
          <w:szCs w:val="20"/>
        </w:rPr>
        <w:t xml:space="preserve"> Špatný stav vozovky,</w:t>
      </w:r>
      <w:r w:rsidRPr="00347ACC">
        <w:rPr>
          <w:sz w:val="20"/>
          <w:szCs w:val="20"/>
        </w:rPr>
        <w:t xml:space="preserve"> stav vozidla, </w:t>
      </w:r>
      <w:r w:rsidR="00105620">
        <w:rPr>
          <w:sz w:val="20"/>
          <w:szCs w:val="20"/>
        </w:rPr>
        <w:t xml:space="preserve">jednání </w:t>
      </w:r>
      <w:r w:rsidRPr="00347ACC">
        <w:rPr>
          <w:sz w:val="20"/>
          <w:szCs w:val="20"/>
        </w:rPr>
        <w:t>ostatní</w:t>
      </w:r>
      <w:r w:rsidR="00105620">
        <w:rPr>
          <w:sz w:val="20"/>
          <w:szCs w:val="20"/>
        </w:rPr>
        <w:t>ch</w:t>
      </w:r>
      <w:r w:rsidRPr="00347ACC">
        <w:rPr>
          <w:sz w:val="20"/>
          <w:szCs w:val="20"/>
        </w:rPr>
        <w:t xml:space="preserve"> účastní</w:t>
      </w:r>
      <w:r w:rsidR="00105620">
        <w:rPr>
          <w:sz w:val="20"/>
          <w:szCs w:val="20"/>
        </w:rPr>
        <w:t>ků provozu</w:t>
      </w:r>
      <w:r w:rsidRPr="00347ACC">
        <w:rPr>
          <w:sz w:val="20"/>
          <w:szCs w:val="20"/>
        </w:rPr>
        <w:t xml:space="preserve">, situace kolem ani počasí nejsou významné </w:t>
      </w:r>
      <w:r w:rsidR="00347ACC">
        <w:rPr>
          <w:sz w:val="20"/>
          <w:szCs w:val="20"/>
        </w:rPr>
        <w:t>faktory ovlivňující nehodovost</w:t>
      </w:r>
      <w:r w:rsidR="00D60BF7">
        <w:rPr>
          <w:sz w:val="20"/>
          <w:szCs w:val="20"/>
        </w:rPr>
        <w:t xml:space="preserve">i. </w:t>
      </w:r>
      <w:r w:rsidR="008761D2">
        <w:rPr>
          <w:i/>
          <w:sz w:val="20"/>
          <w:szCs w:val="20"/>
        </w:rPr>
        <w:t>“</w:t>
      </w:r>
      <w:r w:rsidR="00BD66D4" w:rsidRPr="00A92838">
        <w:rPr>
          <w:i/>
          <w:sz w:val="20"/>
          <w:szCs w:val="20"/>
        </w:rPr>
        <w:t xml:space="preserve">Ať už jsou to řidiči jako hlavní faktor nehodovosti nebo působení externích vlivů, </w:t>
      </w:r>
      <w:r w:rsidR="00BD66D4">
        <w:rPr>
          <w:i/>
          <w:sz w:val="20"/>
          <w:szCs w:val="20"/>
        </w:rPr>
        <w:t>nelze opomenout používání</w:t>
      </w:r>
      <w:r w:rsidR="00BD66D4" w:rsidRPr="00A92838">
        <w:rPr>
          <w:i/>
          <w:sz w:val="20"/>
          <w:szCs w:val="20"/>
        </w:rPr>
        <w:t xml:space="preserve"> bezpečnostních </w:t>
      </w:r>
      <w:proofErr w:type="gramStart"/>
      <w:r w:rsidR="00BD66D4" w:rsidRPr="00A92838">
        <w:rPr>
          <w:i/>
          <w:sz w:val="20"/>
          <w:szCs w:val="20"/>
        </w:rPr>
        <w:t>prvků jako</w:t>
      </w:r>
      <w:proofErr w:type="gramEnd"/>
      <w:r w:rsidR="00BD66D4" w:rsidRPr="00A92838">
        <w:rPr>
          <w:i/>
          <w:sz w:val="20"/>
          <w:szCs w:val="20"/>
        </w:rPr>
        <w:t xml:space="preserve"> jsou svodidla na silnici, tlumiče nárazu aj., protože právě jejich použití může zásadně zmírnit následky dopravní nehody nebo</w:t>
      </w:r>
      <w:r w:rsidR="008761D2">
        <w:rPr>
          <w:i/>
          <w:sz w:val="20"/>
          <w:szCs w:val="20"/>
        </w:rPr>
        <w:t xml:space="preserve"> dokonce zachránit lidský život“, </w:t>
      </w:r>
      <w:r w:rsidRPr="00347ACC">
        <w:rPr>
          <w:sz w:val="20"/>
          <w:szCs w:val="20"/>
        </w:rPr>
        <w:t xml:space="preserve">komentuje zjištění Pavel Foltýn, </w:t>
      </w:r>
      <w:r w:rsidR="00EC2976">
        <w:rPr>
          <w:sz w:val="20"/>
          <w:szCs w:val="20"/>
        </w:rPr>
        <w:t>jednatel společnosti</w:t>
      </w:r>
      <w:r w:rsidRPr="00347ACC">
        <w:rPr>
          <w:sz w:val="20"/>
          <w:szCs w:val="20"/>
        </w:rPr>
        <w:t xml:space="preserve"> SAFEROAD ČR, která je jeden z hlavních dodavatelů řešení bezpečnosti silničního provozu v Evropě.</w:t>
      </w:r>
    </w:p>
    <w:p w:rsidR="00E73A7D" w:rsidRPr="00347ACC" w:rsidRDefault="00E73A7D" w:rsidP="008761D2">
      <w:pPr>
        <w:spacing w:line="331" w:lineRule="auto"/>
        <w:jc w:val="both"/>
        <w:rPr>
          <w:sz w:val="20"/>
          <w:szCs w:val="20"/>
        </w:rPr>
      </w:pPr>
    </w:p>
    <w:p w:rsidR="00E73A7D" w:rsidRPr="00347ACC" w:rsidRDefault="00EC37A5" w:rsidP="008761D2">
      <w:pPr>
        <w:spacing w:line="331" w:lineRule="auto"/>
        <w:jc w:val="both"/>
        <w:rPr>
          <w:sz w:val="20"/>
          <w:szCs w:val="20"/>
        </w:rPr>
      </w:pPr>
      <w:r w:rsidRPr="00347ACC">
        <w:rPr>
          <w:sz w:val="20"/>
          <w:szCs w:val="20"/>
        </w:rPr>
        <w:t xml:space="preserve">Nejvíce pak </w:t>
      </w:r>
      <w:r w:rsidR="003F6D33" w:rsidRPr="00347ACC">
        <w:rPr>
          <w:sz w:val="20"/>
          <w:szCs w:val="20"/>
        </w:rPr>
        <w:t xml:space="preserve">podle řidičů </w:t>
      </w:r>
      <w:r w:rsidRPr="00347ACC">
        <w:rPr>
          <w:sz w:val="20"/>
          <w:szCs w:val="20"/>
        </w:rPr>
        <w:t xml:space="preserve">hraje roli </w:t>
      </w:r>
      <w:r w:rsidRPr="00347ACC">
        <w:rPr>
          <w:b/>
          <w:sz w:val="20"/>
          <w:szCs w:val="20"/>
        </w:rPr>
        <w:t>povaha (45</w:t>
      </w:r>
      <w:r w:rsidR="006E31DC" w:rsidRPr="00347ACC">
        <w:rPr>
          <w:b/>
          <w:sz w:val="20"/>
          <w:szCs w:val="20"/>
        </w:rPr>
        <w:t xml:space="preserve"> </w:t>
      </w:r>
      <w:r w:rsidR="005E652D">
        <w:rPr>
          <w:b/>
          <w:sz w:val="20"/>
          <w:szCs w:val="20"/>
        </w:rPr>
        <w:t xml:space="preserve">%) a </w:t>
      </w:r>
      <w:r w:rsidRPr="00347ACC">
        <w:rPr>
          <w:b/>
          <w:sz w:val="20"/>
          <w:szCs w:val="20"/>
        </w:rPr>
        <w:t xml:space="preserve">psychické rozpoložení </w:t>
      </w:r>
      <w:r w:rsidR="005E652D">
        <w:rPr>
          <w:b/>
          <w:sz w:val="20"/>
          <w:szCs w:val="20"/>
        </w:rPr>
        <w:t xml:space="preserve">řidiče </w:t>
      </w:r>
      <w:r w:rsidRPr="00347ACC">
        <w:rPr>
          <w:b/>
          <w:sz w:val="20"/>
          <w:szCs w:val="20"/>
        </w:rPr>
        <w:t>(26</w:t>
      </w:r>
      <w:r w:rsidR="00105620">
        <w:rPr>
          <w:b/>
          <w:sz w:val="20"/>
          <w:szCs w:val="20"/>
        </w:rPr>
        <w:t xml:space="preserve"> </w:t>
      </w:r>
      <w:r w:rsidRPr="00347ACC">
        <w:rPr>
          <w:b/>
          <w:sz w:val="20"/>
          <w:szCs w:val="20"/>
        </w:rPr>
        <w:t>%)</w:t>
      </w:r>
      <w:r w:rsidRPr="00347ACC">
        <w:rPr>
          <w:sz w:val="20"/>
          <w:szCs w:val="20"/>
        </w:rPr>
        <w:t>, třetím nejsilnějším faktorem ovlivňujícím nehodovost je řidičská praxe (21</w:t>
      </w:r>
      <w:r w:rsidR="006E31DC" w:rsidRPr="00347ACC">
        <w:rPr>
          <w:sz w:val="20"/>
          <w:szCs w:val="20"/>
        </w:rPr>
        <w:t xml:space="preserve"> </w:t>
      </w:r>
      <w:r w:rsidRPr="00347ACC">
        <w:rPr>
          <w:sz w:val="20"/>
          <w:szCs w:val="20"/>
        </w:rPr>
        <w:t>%)</w:t>
      </w:r>
      <w:r w:rsidR="003F6D33" w:rsidRPr="00347ACC">
        <w:rPr>
          <w:sz w:val="20"/>
          <w:szCs w:val="20"/>
        </w:rPr>
        <w:t>.</w:t>
      </w:r>
    </w:p>
    <w:p w:rsidR="00E73A7D" w:rsidRPr="00347ACC" w:rsidRDefault="00E73A7D" w:rsidP="008761D2">
      <w:pPr>
        <w:spacing w:line="331" w:lineRule="auto"/>
        <w:jc w:val="both"/>
        <w:rPr>
          <w:sz w:val="20"/>
          <w:szCs w:val="20"/>
        </w:rPr>
      </w:pPr>
    </w:p>
    <w:p w:rsidR="009E2B97" w:rsidRPr="00347ACC" w:rsidRDefault="009E2B97" w:rsidP="008761D2">
      <w:pPr>
        <w:jc w:val="both"/>
        <w:rPr>
          <w:sz w:val="20"/>
          <w:szCs w:val="20"/>
        </w:rPr>
      </w:pPr>
      <w:r w:rsidRPr="00347ACC">
        <w:rPr>
          <w:b/>
          <w:bCs/>
          <w:sz w:val="20"/>
          <w:szCs w:val="20"/>
        </w:rPr>
        <w:t xml:space="preserve">Každý pátý z nás je nepoučitelný </w:t>
      </w:r>
      <w:r w:rsidRPr="00347ACC">
        <w:rPr>
          <w:sz w:val="20"/>
          <w:szCs w:val="20"/>
        </w:rPr>
        <w:t> </w:t>
      </w:r>
    </w:p>
    <w:p w:rsidR="009E2B97" w:rsidRDefault="009E2B97" w:rsidP="008761D2">
      <w:pPr>
        <w:jc w:val="both"/>
        <w:rPr>
          <w:sz w:val="20"/>
          <w:szCs w:val="20"/>
        </w:rPr>
      </w:pPr>
      <w:r w:rsidRPr="00347ACC">
        <w:rPr>
          <w:sz w:val="20"/>
          <w:szCs w:val="20"/>
        </w:rPr>
        <w:t>22 % řidičů zdá se být až chronicky nepoučitelných, přestože buď bourali nebo dostávají pokuty, stále se nevěnují plně řízení vozidla. Jedná se především o ty řidiče, kteří už minimálně 2krát bourali anebo dostali 2 a více pokut.</w:t>
      </w:r>
    </w:p>
    <w:p w:rsidR="008761D2" w:rsidRPr="00347ACC" w:rsidRDefault="008761D2" w:rsidP="008761D2">
      <w:pPr>
        <w:jc w:val="both"/>
        <w:rPr>
          <w:sz w:val="20"/>
          <w:szCs w:val="20"/>
        </w:rPr>
      </w:pPr>
    </w:p>
    <w:p w:rsidR="00E73A7D" w:rsidRPr="00347ACC" w:rsidRDefault="009E2B97" w:rsidP="008761D2">
      <w:pPr>
        <w:jc w:val="both"/>
        <w:rPr>
          <w:sz w:val="20"/>
          <w:szCs w:val="20"/>
        </w:rPr>
      </w:pPr>
      <w:r w:rsidRPr="00347ACC">
        <w:rPr>
          <w:sz w:val="20"/>
          <w:szCs w:val="20"/>
        </w:rPr>
        <w:t>„</w:t>
      </w:r>
      <w:r w:rsidRPr="00347ACC">
        <w:rPr>
          <w:i/>
          <w:sz w:val="20"/>
          <w:szCs w:val="20"/>
        </w:rPr>
        <w:t>Z výzkumu rovněž vyplývá, že jednoznačně více nepoučitelní jsou řidiči-muži, jejichž podíl v četnosti pokut je třikrát vyšší než u žen. Muži rovněž více riskují a více bourají než ženy. Z hlediska počtu bouraček</w:t>
      </w:r>
      <w:bookmarkStart w:id="0" w:name="_GoBack"/>
      <w:bookmarkEnd w:id="0"/>
      <w:r w:rsidRPr="00347ACC">
        <w:rPr>
          <w:i/>
          <w:sz w:val="20"/>
          <w:szCs w:val="20"/>
        </w:rPr>
        <w:t xml:space="preserve"> jsou nejdisciplinovanější řidiči ve věku od 45 do 65 let,</w:t>
      </w:r>
      <w:r w:rsidRPr="00347ACC">
        <w:rPr>
          <w:sz w:val="20"/>
          <w:szCs w:val="20"/>
        </w:rPr>
        <w:t xml:space="preserve">“ říká Jan Polák, </w:t>
      </w:r>
      <w:proofErr w:type="spellStart"/>
      <w:r w:rsidRPr="00347ACC">
        <w:rPr>
          <w:sz w:val="20"/>
          <w:szCs w:val="20"/>
        </w:rPr>
        <w:t>Account</w:t>
      </w:r>
      <w:proofErr w:type="spellEnd"/>
      <w:r w:rsidRPr="00347ACC">
        <w:rPr>
          <w:sz w:val="20"/>
          <w:szCs w:val="20"/>
        </w:rPr>
        <w:t xml:space="preserve"> </w:t>
      </w:r>
      <w:proofErr w:type="spellStart"/>
      <w:r w:rsidRPr="00347ACC">
        <w:rPr>
          <w:sz w:val="20"/>
          <w:szCs w:val="20"/>
        </w:rPr>
        <w:t>Director</w:t>
      </w:r>
      <w:proofErr w:type="spellEnd"/>
      <w:r w:rsidRPr="00347ACC">
        <w:rPr>
          <w:sz w:val="20"/>
          <w:szCs w:val="20"/>
        </w:rPr>
        <w:t xml:space="preserve"> firmy </w:t>
      </w:r>
      <w:proofErr w:type="spellStart"/>
      <w:r w:rsidRPr="00347ACC">
        <w:rPr>
          <w:sz w:val="20"/>
          <w:szCs w:val="20"/>
        </w:rPr>
        <w:t>Ipsos</w:t>
      </w:r>
      <w:proofErr w:type="spellEnd"/>
      <w:r w:rsidRPr="00347ACC">
        <w:rPr>
          <w:sz w:val="20"/>
          <w:szCs w:val="20"/>
        </w:rPr>
        <w:t>, který vedl tento výzkum.</w:t>
      </w:r>
    </w:p>
    <w:p w:rsidR="00105620" w:rsidRDefault="00105620" w:rsidP="008761D2">
      <w:pPr>
        <w:jc w:val="both"/>
        <w:rPr>
          <w:sz w:val="20"/>
          <w:szCs w:val="20"/>
        </w:rPr>
      </w:pPr>
    </w:p>
    <w:p w:rsidR="00E73A7D" w:rsidRDefault="00EC37A5" w:rsidP="008761D2">
      <w:pPr>
        <w:jc w:val="both"/>
        <w:rPr>
          <w:b/>
          <w:sz w:val="20"/>
          <w:szCs w:val="20"/>
        </w:rPr>
      </w:pPr>
      <w:r w:rsidRPr="00347ACC">
        <w:rPr>
          <w:sz w:val="20"/>
          <w:szCs w:val="20"/>
        </w:rPr>
        <w:t xml:space="preserve">Až absurdně může působit fakt, že </w:t>
      </w:r>
      <w:r w:rsidRPr="00347ACC">
        <w:rPr>
          <w:b/>
          <w:sz w:val="20"/>
          <w:szCs w:val="20"/>
        </w:rPr>
        <w:t>98</w:t>
      </w:r>
      <w:r w:rsidR="006E31DC" w:rsidRPr="00347ACC">
        <w:rPr>
          <w:b/>
          <w:sz w:val="20"/>
          <w:szCs w:val="20"/>
        </w:rPr>
        <w:t xml:space="preserve"> </w:t>
      </w:r>
      <w:r w:rsidRPr="00347ACC">
        <w:rPr>
          <w:b/>
          <w:sz w:val="20"/>
          <w:szCs w:val="20"/>
        </w:rPr>
        <w:t>% respondentů si dobře uvědomuje přímou souvislost mezi</w:t>
      </w:r>
      <w:r w:rsidR="005E652D">
        <w:rPr>
          <w:b/>
          <w:sz w:val="20"/>
          <w:szCs w:val="20"/>
        </w:rPr>
        <w:t xml:space="preserve"> mírou nevěnování se řízení </w:t>
      </w:r>
      <w:r w:rsidRPr="00347ACC">
        <w:rPr>
          <w:b/>
          <w:sz w:val="20"/>
          <w:szCs w:val="20"/>
        </w:rPr>
        <w:t>a nehodovostí.</w:t>
      </w:r>
    </w:p>
    <w:p w:rsidR="005E652D" w:rsidRDefault="005E652D" w:rsidP="008761D2">
      <w:pPr>
        <w:jc w:val="both"/>
        <w:rPr>
          <w:b/>
          <w:sz w:val="20"/>
          <w:szCs w:val="20"/>
        </w:rPr>
      </w:pPr>
    </w:p>
    <w:p w:rsidR="005E652D" w:rsidRPr="00114427" w:rsidRDefault="005E652D" w:rsidP="008761D2">
      <w:pPr>
        <w:jc w:val="both"/>
        <w:rPr>
          <w:sz w:val="20"/>
          <w:szCs w:val="20"/>
        </w:rPr>
      </w:pPr>
      <w:r>
        <w:rPr>
          <w:i/>
          <w:sz w:val="20"/>
          <w:szCs w:val="20"/>
        </w:rPr>
        <w:t xml:space="preserve">“V posledních deseti letech je nedostatečná pozornost při řízení příčinou každé deváté smrtelné nehody na našich silnicích. Celosvětově se předpokládá, že rozptýlenost za volantem je příčinou celé čtvrtiny dopravních nehod. Rozptylujících faktorů je skutečně velmi mnoho a dá se předpokládat, že postupem času budou přibývat. Lidé by tak měli být důsledně seznamováni s riziky, která se pojí s nedostatečným věnováním se silničnímu provozu. Týká se to skutečně všech. Jak chodců či cyklistů, tak řidičů velkých kamionů,“ </w:t>
      </w:r>
      <w:r w:rsidRPr="00114427">
        <w:rPr>
          <w:sz w:val="20"/>
          <w:szCs w:val="20"/>
        </w:rPr>
        <w:t xml:space="preserve">říká </w:t>
      </w:r>
      <w:r w:rsidRPr="008761D2">
        <w:rPr>
          <w:sz w:val="20"/>
          <w:szCs w:val="20"/>
        </w:rPr>
        <w:t>Roman Budský z </w:t>
      </w:r>
      <w:hyperlink r:id="rId4" w:history="1">
        <w:r w:rsidRPr="008761D2">
          <w:rPr>
            <w:rStyle w:val="Hypertextovodkaz"/>
            <w:sz w:val="20"/>
            <w:szCs w:val="20"/>
          </w:rPr>
          <w:t>Týmu silniční bezpečnosti</w:t>
        </w:r>
      </w:hyperlink>
      <w:r w:rsidRPr="00114427">
        <w:rPr>
          <w:sz w:val="20"/>
          <w:szCs w:val="20"/>
        </w:rPr>
        <w:t xml:space="preserve">. </w:t>
      </w:r>
    </w:p>
    <w:p w:rsidR="00E73A7D" w:rsidRDefault="00E73A7D" w:rsidP="008761D2">
      <w:pPr>
        <w:jc w:val="both"/>
        <w:rPr>
          <w:sz w:val="20"/>
          <w:szCs w:val="20"/>
          <w:highlight w:val="white"/>
        </w:rPr>
      </w:pPr>
    </w:p>
    <w:p w:rsidR="00E73A7D" w:rsidRDefault="00EC37A5" w:rsidP="008761D2">
      <w:pPr>
        <w:jc w:val="both"/>
        <w:rPr>
          <w:sz w:val="20"/>
          <w:szCs w:val="20"/>
          <w:highlight w:val="white"/>
        </w:rPr>
      </w:pPr>
      <w:r>
        <w:rPr>
          <w:sz w:val="20"/>
          <w:szCs w:val="20"/>
          <w:highlight w:val="white"/>
        </w:rPr>
        <w:t>Významná shoda padla i v</w:t>
      </w:r>
      <w:r w:rsidR="006E31DC">
        <w:rPr>
          <w:sz w:val="20"/>
          <w:szCs w:val="20"/>
          <w:highlight w:val="white"/>
        </w:rPr>
        <w:t> </w:t>
      </w:r>
      <w:r>
        <w:rPr>
          <w:sz w:val="20"/>
          <w:szCs w:val="20"/>
          <w:highlight w:val="white"/>
        </w:rPr>
        <w:t>otázce jak účinně vyřešit to</w:t>
      </w:r>
      <w:r w:rsidR="00BC49A6">
        <w:rPr>
          <w:sz w:val="20"/>
          <w:szCs w:val="20"/>
          <w:highlight w:val="white"/>
        </w:rPr>
        <w:t>,</w:t>
      </w:r>
      <w:r>
        <w:rPr>
          <w:sz w:val="20"/>
          <w:szCs w:val="20"/>
          <w:highlight w:val="white"/>
        </w:rPr>
        <w:t xml:space="preserve"> aby se řidiči věnovali řízení. Řidiči vidí jako nejúčinnější nástroj </w:t>
      </w:r>
      <w:r>
        <w:rPr>
          <w:b/>
          <w:sz w:val="20"/>
          <w:szCs w:val="20"/>
          <w:highlight w:val="white"/>
        </w:rPr>
        <w:t xml:space="preserve">více kontrol na silnicích, vyšší pokuty </w:t>
      </w:r>
      <w:r>
        <w:rPr>
          <w:sz w:val="20"/>
          <w:szCs w:val="20"/>
          <w:highlight w:val="white"/>
        </w:rPr>
        <w:t xml:space="preserve">a sledování kamerami. Dále s menším odstupem uvedli jako účinný nástroj prevence nehod </w:t>
      </w:r>
      <w:r>
        <w:rPr>
          <w:b/>
          <w:sz w:val="20"/>
          <w:szCs w:val="20"/>
          <w:highlight w:val="white"/>
        </w:rPr>
        <w:t>edukaci</w:t>
      </w:r>
      <w:r>
        <w:rPr>
          <w:sz w:val="20"/>
          <w:szCs w:val="20"/>
          <w:highlight w:val="white"/>
        </w:rPr>
        <w:t>.</w:t>
      </w:r>
    </w:p>
    <w:p w:rsidR="00E73A7D" w:rsidRDefault="00E73A7D" w:rsidP="008761D2">
      <w:pPr>
        <w:jc w:val="both"/>
        <w:rPr>
          <w:sz w:val="20"/>
          <w:szCs w:val="20"/>
          <w:highlight w:val="white"/>
        </w:rPr>
      </w:pPr>
    </w:p>
    <w:p w:rsidR="00E73A7D" w:rsidRDefault="00E73A7D" w:rsidP="008761D2">
      <w:pPr>
        <w:jc w:val="both"/>
        <w:rPr>
          <w:sz w:val="20"/>
          <w:szCs w:val="20"/>
        </w:rPr>
      </w:pPr>
    </w:p>
    <w:p w:rsidR="00E73A7D" w:rsidRDefault="00EC37A5" w:rsidP="008761D2">
      <w:pPr>
        <w:jc w:val="both"/>
        <w:rPr>
          <w:sz w:val="20"/>
          <w:szCs w:val="20"/>
        </w:rPr>
      </w:pPr>
      <w:r w:rsidRPr="00347ACC">
        <w:rPr>
          <w:sz w:val="20"/>
          <w:szCs w:val="20"/>
        </w:rPr>
        <w:t xml:space="preserve">Průzkum byl realizován </w:t>
      </w:r>
      <w:r w:rsidR="009E2B97" w:rsidRPr="00347ACC">
        <w:rPr>
          <w:sz w:val="20"/>
          <w:szCs w:val="20"/>
        </w:rPr>
        <w:t xml:space="preserve">agenturou Ipsos v červenci 2017 metodou on-line dotazování </w:t>
      </w:r>
      <w:r w:rsidRPr="00347ACC">
        <w:rPr>
          <w:sz w:val="20"/>
          <w:szCs w:val="20"/>
        </w:rPr>
        <w:t xml:space="preserve">na reprezentativním vzorku 1.050 </w:t>
      </w:r>
      <w:r w:rsidR="00BC49A6" w:rsidRPr="00347ACC">
        <w:rPr>
          <w:sz w:val="20"/>
          <w:szCs w:val="20"/>
        </w:rPr>
        <w:t>respondentů – řidičů</w:t>
      </w:r>
      <w:r w:rsidRPr="00347ACC">
        <w:rPr>
          <w:sz w:val="20"/>
          <w:szCs w:val="20"/>
        </w:rPr>
        <w:t xml:space="preserve"> (řídí minimálně 1x měsíčně) ve věku 18-65 let z celé ČR.</w:t>
      </w:r>
    </w:p>
    <w:p w:rsidR="00E73A7D" w:rsidRDefault="00E73A7D">
      <w:pPr>
        <w:rPr>
          <w:sz w:val="20"/>
          <w:szCs w:val="20"/>
        </w:rPr>
      </w:pPr>
    </w:p>
    <w:p w:rsidR="00635752" w:rsidRDefault="00635752">
      <w:pPr>
        <w:rPr>
          <w:sz w:val="20"/>
          <w:szCs w:val="20"/>
        </w:rPr>
      </w:pPr>
    </w:p>
    <w:p w:rsidR="009E2B97" w:rsidRDefault="009E2B97">
      <w:pPr>
        <w:rPr>
          <w:sz w:val="20"/>
          <w:szCs w:val="20"/>
        </w:rPr>
      </w:pPr>
    </w:p>
    <w:p w:rsidR="00635752" w:rsidRDefault="00AA3BD0">
      <w:pPr>
        <w:rPr>
          <w:sz w:val="20"/>
          <w:szCs w:val="20"/>
        </w:rPr>
      </w:pPr>
      <w:r>
        <w:rPr>
          <w:noProof/>
          <w:lang w:val="cs-CZ"/>
        </w:rPr>
        <mc:AlternateContent>
          <mc:Choice Requires="wps">
            <w:drawing>
              <wp:anchor distT="0" distB="0" distL="114300" distR="114300" simplePos="0" relativeHeight="251659264" behindDoc="0" locked="0" layoutInCell="1" allowOverlap="1" wp14:anchorId="04800D25" wp14:editId="3F84F84B">
                <wp:simplePos x="0" y="0"/>
                <wp:positionH relativeFrom="margin">
                  <wp:posOffset>114300</wp:posOffset>
                </wp:positionH>
                <wp:positionV relativeFrom="paragraph">
                  <wp:posOffset>80645</wp:posOffset>
                </wp:positionV>
                <wp:extent cx="2883535" cy="307340"/>
                <wp:effectExtent l="0" t="0" r="0" b="0"/>
                <wp:wrapNone/>
                <wp:docPr id="29" name="TextovéPole 28"/>
                <wp:cNvGraphicFramePr/>
                <a:graphic xmlns:a="http://schemas.openxmlformats.org/drawingml/2006/main">
                  <a:graphicData uri="http://schemas.microsoft.com/office/word/2010/wordprocessingShape">
                    <wps:wsp>
                      <wps:cNvSpPr txBox="1"/>
                      <wps:spPr>
                        <a:xfrm>
                          <a:off x="0" y="0"/>
                          <a:ext cx="2883535" cy="307340"/>
                        </a:xfrm>
                        <a:prstGeom prst="rect">
                          <a:avLst/>
                        </a:prstGeom>
                        <a:noFill/>
                      </wps:spPr>
                      <wps:txbx>
                        <w:txbxContent>
                          <w:p w:rsidR="00635752" w:rsidRDefault="00635752" w:rsidP="00635752">
                            <w:pPr>
                              <w:pStyle w:val="Normlnweb"/>
                              <w:spacing w:before="0" w:beforeAutospacing="0" w:after="0" w:afterAutospacing="0"/>
                            </w:pPr>
                            <w:r>
                              <w:rPr>
                                <w:rFonts w:ascii="Calibri" w:eastAsia="+mn-ea" w:hAnsi="Calibri" w:cs="+mn-cs"/>
                                <w:b/>
                                <w:bCs/>
                                <w:color w:val="404040"/>
                                <w:sz w:val="28"/>
                                <w:szCs w:val="28"/>
                              </w:rPr>
                              <w:t>Faktory ovlivňující nehodovost</w:t>
                            </w:r>
                          </w:p>
                        </w:txbxContent>
                      </wps:txbx>
                      <wps:bodyPr wrap="none" rtlCol="0">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4800D25" id="_x0000_t202" coordsize="21600,21600" o:spt="202" path="m,l,21600r21600,l21600,xe">
                <v:stroke joinstyle="miter"/>
                <v:path gradientshapeok="t" o:connecttype="rect"/>
              </v:shapetype>
              <v:shape id="TextovéPole 28" o:spid="_x0000_s1026" type="#_x0000_t202" style="position:absolute;margin-left:9pt;margin-top:6.35pt;width:227.05pt;height:24.2pt;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" filled="f" stroked="f">
                <v:textbox style="mso-fit-shape-to-text:t">
                  <w:txbxContent>
                    <w:p w:rsidR="00635752" w:rsidRDefault="00635752" w:rsidP="00635752">
                      <w:pPr>
                        <w:pStyle w:val="Normlnweb"/>
                        <w:spacing w:before="0" w:beforeAutospacing="0" w:after="0" w:afterAutospacing="0"/>
                      </w:pPr>
                      <w:r>
                        <w:rPr>
                          <w:rFonts w:ascii="Calibri" w:eastAsia="+mn-ea" w:hAnsi="Calibri" w:cs="+mn-cs"/>
                          <w:b/>
                          <w:bCs/>
                          <w:color w:val="404040"/>
                          <w:sz w:val="28"/>
                          <w:szCs w:val="28"/>
                        </w:rPr>
                        <w:t>Faktory ovlivňující nehodovost</w:t>
                      </w:r>
                    </w:p>
                  </w:txbxContent>
                </v:textbox>
                <w10:wrap anchorx="margin"/>
              </v:shape>
            </w:pict>
          </mc:Fallback>
        </mc:AlternateContent>
      </w:r>
    </w:p>
    <w:p w:rsidR="00635752" w:rsidRDefault="00635752">
      <w:pPr>
        <w:rPr>
          <w:sz w:val="20"/>
          <w:szCs w:val="20"/>
        </w:rPr>
      </w:pPr>
    </w:p>
    <w:p w:rsidR="00635752" w:rsidRPr="00635752" w:rsidRDefault="00166902" w:rsidP="00635752">
      <w:pPr>
        <w:rPr>
          <w:sz w:val="20"/>
          <w:szCs w:val="20"/>
        </w:rPr>
      </w:pPr>
      <w:r w:rsidRPr="00166902">
        <w:rPr>
          <w:noProof/>
          <w:sz w:val="20"/>
          <w:szCs w:val="20"/>
          <w:lang w:val="cs-CZ"/>
        </w:rPr>
        <w:drawing>
          <wp:anchor distT="0" distB="0" distL="114300" distR="114300" simplePos="0" relativeHeight="251668480" behindDoc="1" locked="0" layoutInCell="1" allowOverlap="1">
            <wp:simplePos x="0" y="0"/>
            <wp:positionH relativeFrom="column">
              <wp:posOffset>0</wp:posOffset>
            </wp:positionH>
            <wp:positionV relativeFrom="paragraph">
              <wp:posOffset>-635</wp:posOffset>
            </wp:positionV>
            <wp:extent cx="4071910" cy="2808312"/>
            <wp:effectExtent l="0" t="0" r="5080" b="0"/>
            <wp:wrapTight wrapText="bothSides">
              <wp:wrapPolygon edited="0">
                <wp:start x="0" y="0"/>
                <wp:lineTo x="0" y="21395"/>
                <wp:lineTo x="21526" y="21395"/>
                <wp:lineTo x="21526" y="0"/>
                <wp:lineTo x="0" y="0"/>
              </wp:wrapPolygon>
            </wp:wrapTight>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p w:rsidR="00635752" w:rsidRPr="00635752" w:rsidRDefault="00635752" w:rsidP="00635752">
      <w:pPr>
        <w:rPr>
          <w:sz w:val="20"/>
          <w:szCs w:val="20"/>
        </w:rPr>
      </w:pPr>
    </w:p>
    <w:p w:rsidR="00635752" w:rsidRDefault="00635752" w:rsidP="00635752">
      <w:pPr>
        <w:rPr>
          <w:sz w:val="20"/>
          <w:szCs w:val="20"/>
        </w:rPr>
      </w:pPr>
    </w:p>
    <w:p w:rsidR="00635752" w:rsidRDefault="00635752" w:rsidP="00635752">
      <w:pPr>
        <w:rPr>
          <w:sz w:val="20"/>
          <w:szCs w:val="20"/>
        </w:rPr>
      </w:pPr>
    </w:p>
    <w:p w:rsidR="00635752" w:rsidRPr="00635752" w:rsidRDefault="00635752" w:rsidP="00635752">
      <w:pPr>
        <w:rPr>
          <w:sz w:val="20"/>
          <w:szCs w:val="20"/>
        </w:rPr>
      </w:pPr>
    </w:p>
    <w:p w:rsidR="00635752" w:rsidRPr="00635752" w:rsidRDefault="00635752" w:rsidP="00635752">
      <w:pPr>
        <w:rPr>
          <w:sz w:val="20"/>
          <w:szCs w:val="20"/>
        </w:rPr>
      </w:pPr>
    </w:p>
    <w:p w:rsidR="00635752" w:rsidRPr="00635752" w:rsidRDefault="00635752" w:rsidP="00635752">
      <w:pPr>
        <w:rPr>
          <w:sz w:val="20"/>
          <w:szCs w:val="20"/>
        </w:rPr>
      </w:pPr>
    </w:p>
    <w:p w:rsidR="00635752" w:rsidRPr="00635752" w:rsidRDefault="00635752" w:rsidP="00635752">
      <w:pPr>
        <w:rPr>
          <w:sz w:val="20"/>
          <w:szCs w:val="20"/>
        </w:rPr>
      </w:pPr>
    </w:p>
    <w:p w:rsidR="00635752" w:rsidRPr="00635752" w:rsidRDefault="00635752" w:rsidP="00635752">
      <w:pPr>
        <w:rPr>
          <w:sz w:val="20"/>
          <w:szCs w:val="20"/>
        </w:rPr>
      </w:pPr>
    </w:p>
    <w:p w:rsidR="00635752" w:rsidRPr="00635752" w:rsidRDefault="00635752" w:rsidP="00635752">
      <w:pPr>
        <w:rPr>
          <w:sz w:val="20"/>
          <w:szCs w:val="20"/>
        </w:rPr>
      </w:pPr>
    </w:p>
    <w:p w:rsidR="00635752" w:rsidRPr="00635752" w:rsidRDefault="00635752" w:rsidP="00635752">
      <w:pPr>
        <w:rPr>
          <w:sz w:val="20"/>
          <w:szCs w:val="20"/>
        </w:rPr>
      </w:pPr>
    </w:p>
    <w:p w:rsidR="00635752" w:rsidRPr="00635752" w:rsidRDefault="00635752" w:rsidP="00635752">
      <w:pPr>
        <w:rPr>
          <w:sz w:val="20"/>
          <w:szCs w:val="20"/>
        </w:rPr>
      </w:pPr>
    </w:p>
    <w:p w:rsidR="00635752" w:rsidRPr="00635752" w:rsidRDefault="00635752" w:rsidP="00635752">
      <w:pPr>
        <w:rPr>
          <w:sz w:val="20"/>
          <w:szCs w:val="20"/>
        </w:rPr>
      </w:pPr>
    </w:p>
    <w:p w:rsidR="00635752" w:rsidRPr="00635752" w:rsidRDefault="00635752" w:rsidP="00635752">
      <w:pPr>
        <w:rPr>
          <w:sz w:val="20"/>
          <w:szCs w:val="20"/>
        </w:rPr>
      </w:pPr>
    </w:p>
    <w:p w:rsidR="00635752" w:rsidRPr="00635752" w:rsidRDefault="00635752" w:rsidP="00635752">
      <w:pPr>
        <w:rPr>
          <w:sz w:val="20"/>
          <w:szCs w:val="20"/>
        </w:rPr>
      </w:pPr>
    </w:p>
    <w:p w:rsidR="00635752" w:rsidRPr="00635752" w:rsidRDefault="00635752" w:rsidP="00635752">
      <w:pPr>
        <w:rPr>
          <w:sz w:val="20"/>
          <w:szCs w:val="20"/>
        </w:rPr>
      </w:pPr>
    </w:p>
    <w:p w:rsidR="00635752" w:rsidRPr="00635752" w:rsidRDefault="00635752" w:rsidP="00635752">
      <w:pPr>
        <w:rPr>
          <w:sz w:val="20"/>
          <w:szCs w:val="20"/>
        </w:rPr>
      </w:pPr>
    </w:p>
    <w:p w:rsidR="00635752" w:rsidRPr="00C377C5" w:rsidRDefault="00AA3BD0" w:rsidP="00635752">
      <w:pPr>
        <w:rPr>
          <w:b/>
          <w:sz w:val="20"/>
          <w:szCs w:val="20"/>
        </w:rPr>
      </w:pPr>
      <w:r>
        <w:rPr>
          <w:b/>
          <w:sz w:val="20"/>
          <w:szCs w:val="20"/>
        </w:rPr>
        <w:t xml:space="preserve">     </w:t>
      </w:r>
      <w:r w:rsidR="00C377C5" w:rsidRPr="00C377C5">
        <w:rPr>
          <w:b/>
          <w:sz w:val="20"/>
          <w:szCs w:val="20"/>
        </w:rPr>
        <w:t>Zdroj: výzkum Ipsos pro SAFEROAD ČR, červenec 2017</w:t>
      </w:r>
    </w:p>
    <w:p w:rsidR="00635752" w:rsidRDefault="00635752" w:rsidP="00635752">
      <w:pPr>
        <w:rPr>
          <w:sz w:val="20"/>
          <w:szCs w:val="20"/>
        </w:rPr>
      </w:pPr>
    </w:p>
    <w:p w:rsidR="00AA3BD0" w:rsidRDefault="00AA3BD0" w:rsidP="00635752">
      <w:pPr>
        <w:rPr>
          <w:sz w:val="20"/>
          <w:szCs w:val="20"/>
        </w:rPr>
      </w:pPr>
    </w:p>
    <w:p w:rsidR="00AA3BD0" w:rsidRDefault="00AA3BD0" w:rsidP="00635752">
      <w:pPr>
        <w:rPr>
          <w:sz w:val="20"/>
          <w:szCs w:val="20"/>
        </w:rPr>
      </w:pPr>
    </w:p>
    <w:p w:rsidR="00635752" w:rsidRDefault="00C377C5" w:rsidP="00635752">
      <w:pPr>
        <w:rPr>
          <w:sz w:val="20"/>
          <w:szCs w:val="20"/>
        </w:rPr>
      </w:pPr>
      <w:r>
        <w:rPr>
          <w:noProof/>
          <w:lang w:val="cs-CZ"/>
        </w:rPr>
        <mc:AlternateContent>
          <mc:Choice Requires="wps">
            <w:drawing>
              <wp:anchor distT="0" distB="0" distL="114300" distR="114300" simplePos="0" relativeHeight="251662336" behindDoc="0" locked="0" layoutInCell="1" allowOverlap="1" wp14:anchorId="0973DDED" wp14:editId="3D159002">
                <wp:simplePos x="0" y="0"/>
                <wp:positionH relativeFrom="margin">
                  <wp:posOffset>114300</wp:posOffset>
                </wp:positionH>
                <wp:positionV relativeFrom="paragraph">
                  <wp:posOffset>8255</wp:posOffset>
                </wp:positionV>
                <wp:extent cx="3709670" cy="307777"/>
                <wp:effectExtent l="0" t="0" r="0" b="0"/>
                <wp:wrapNone/>
                <wp:docPr id="9" name="TextovéPole 8"/>
                <wp:cNvGraphicFramePr/>
                <a:graphic xmlns:a="http://schemas.openxmlformats.org/drawingml/2006/main">
                  <a:graphicData uri="http://schemas.microsoft.com/office/word/2010/wordprocessingShape">
                    <wps:wsp>
                      <wps:cNvSpPr txBox="1"/>
                      <wps:spPr>
                        <a:xfrm>
                          <a:off x="0" y="0"/>
                          <a:ext cx="3709670" cy="307777"/>
                        </a:xfrm>
                        <a:prstGeom prst="rect">
                          <a:avLst/>
                        </a:prstGeom>
                        <a:noFill/>
                      </wps:spPr>
                      <wps:txbx>
                        <w:txbxContent>
                          <w:p w:rsidR="00635752" w:rsidRDefault="00635752" w:rsidP="00635752">
                            <w:pPr>
                              <w:pStyle w:val="Normlnweb"/>
                              <w:spacing w:before="0" w:beforeAutospacing="0" w:after="0" w:afterAutospacing="0"/>
                            </w:pPr>
                            <w:r>
                              <w:rPr>
                                <w:rFonts w:ascii="Calibri" w:eastAsia="+mn-ea" w:hAnsi="Calibri" w:cs="+mn-cs"/>
                                <w:b/>
                                <w:bCs/>
                                <w:color w:val="404040"/>
                                <w:sz w:val="28"/>
                                <w:szCs w:val="28"/>
                              </w:rPr>
                              <w:t>Faktory na straně řidiče ovlivňující nehodovost</w:t>
                            </w:r>
                          </w:p>
                        </w:txbxContent>
                      </wps:txbx>
                      <wps:bodyPr wrap="square" rtlCol="0">
                        <a:sp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73DDED" id="TextovéPole 8" o:spid="_x0000_s1027" type="#_x0000_t202" style="position:absolute;margin-left:9pt;margin-top:.65pt;width:292.1pt;height:24.2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" filled="f" stroked="f">
                <v:textbox style="mso-fit-shape-to-text:t">
                  <w:txbxContent>
                    <w:p w:rsidR="00635752" w:rsidRDefault="00635752" w:rsidP="00635752">
                      <w:pPr>
                        <w:pStyle w:val="Normlnweb"/>
                        <w:spacing w:before="0" w:beforeAutospacing="0" w:after="0" w:afterAutospacing="0"/>
                      </w:pPr>
                      <w:r>
                        <w:rPr>
                          <w:rFonts w:ascii="Calibri" w:eastAsia="+mn-ea" w:hAnsi="Calibri" w:cs="+mn-cs"/>
                          <w:b/>
                          <w:bCs/>
                          <w:color w:val="404040"/>
                          <w:sz w:val="28"/>
                          <w:szCs w:val="28"/>
                        </w:rPr>
                        <w:t>Faktory na straně řidiče ovlivňující nehodovost</w:t>
                      </w:r>
                    </w:p>
                  </w:txbxContent>
                </v:textbox>
                <w10:wrap anchorx="margin"/>
              </v:shape>
            </w:pict>
          </mc:Fallback>
        </mc:AlternateContent>
      </w:r>
    </w:p>
    <w:p w:rsidR="00635752" w:rsidRDefault="00635752" w:rsidP="00635752">
      <w:pPr>
        <w:rPr>
          <w:sz w:val="20"/>
          <w:szCs w:val="20"/>
        </w:rPr>
      </w:pPr>
      <w:r>
        <w:rPr>
          <w:noProof/>
          <w:lang w:val="cs-CZ"/>
        </w:rPr>
        <w:drawing>
          <wp:inline distT="0" distB="0" distL="0" distR="0" wp14:anchorId="2327601C" wp14:editId="1EED9998">
            <wp:extent cx="4071910" cy="2808312"/>
            <wp:effectExtent l="0" t="0" r="5080" b="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35752" w:rsidRPr="00635752" w:rsidRDefault="00635752" w:rsidP="00635752">
      <w:pPr>
        <w:rPr>
          <w:sz w:val="20"/>
          <w:szCs w:val="20"/>
        </w:rPr>
      </w:pPr>
    </w:p>
    <w:p w:rsidR="00C377C5" w:rsidRPr="00AA3BD0" w:rsidRDefault="00AA3BD0" w:rsidP="00C377C5">
      <w:pPr>
        <w:rPr>
          <w:b/>
          <w:sz w:val="20"/>
          <w:szCs w:val="20"/>
        </w:rPr>
      </w:pPr>
      <w:r>
        <w:rPr>
          <w:b/>
          <w:sz w:val="20"/>
          <w:szCs w:val="20"/>
        </w:rPr>
        <w:t xml:space="preserve">    </w:t>
      </w:r>
      <w:r w:rsidR="00C377C5" w:rsidRPr="00AA3BD0">
        <w:rPr>
          <w:b/>
          <w:sz w:val="20"/>
          <w:szCs w:val="20"/>
        </w:rPr>
        <w:t>Zdroj: výzkum Ipsos pro SAFEROAD ČR, červenec 2017</w:t>
      </w:r>
    </w:p>
    <w:p w:rsidR="00635752" w:rsidRPr="00635752" w:rsidRDefault="00635752" w:rsidP="00635752">
      <w:pPr>
        <w:rPr>
          <w:sz w:val="20"/>
          <w:szCs w:val="20"/>
        </w:rPr>
      </w:pPr>
    </w:p>
    <w:p w:rsidR="00635752" w:rsidRDefault="00635752" w:rsidP="00635752">
      <w:pPr>
        <w:rPr>
          <w:sz w:val="20"/>
          <w:szCs w:val="20"/>
        </w:rPr>
      </w:pPr>
    </w:p>
    <w:p w:rsidR="00635752" w:rsidRDefault="00635752">
      <w:pPr>
        <w:rPr>
          <w:sz w:val="20"/>
          <w:szCs w:val="20"/>
        </w:rPr>
      </w:pPr>
      <w:r>
        <w:rPr>
          <w:sz w:val="20"/>
          <w:szCs w:val="20"/>
        </w:rPr>
        <w:br w:type="page"/>
      </w:r>
    </w:p>
    <w:p w:rsidR="00AA3BD0" w:rsidRDefault="00AA3BD0" w:rsidP="00AA3BD0">
      <w:pPr>
        <w:rPr>
          <w:b/>
          <w:sz w:val="20"/>
          <w:szCs w:val="20"/>
        </w:rPr>
      </w:pPr>
      <w:r>
        <w:rPr>
          <w:b/>
          <w:sz w:val="20"/>
          <w:szCs w:val="20"/>
        </w:rPr>
        <w:t xml:space="preserve">     </w:t>
      </w:r>
    </w:p>
    <w:p w:rsidR="00AA3BD0" w:rsidRDefault="00AA3BD0" w:rsidP="00AA3BD0">
      <w:pPr>
        <w:rPr>
          <w:b/>
          <w:sz w:val="20"/>
          <w:szCs w:val="20"/>
        </w:rPr>
      </w:pPr>
    </w:p>
    <w:p w:rsidR="00AA3BD0" w:rsidRDefault="00AA3BD0" w:rsidP="00AA3BD0">
      <w:pPr>
        <w:rPr>
          <w:b/>
          <w:sz w:val="20"/>
          <w:szCs w:val="20"/>
        </w:rPr>
      </w:pPr>
    </w:p>
    <w:p w:rsidR="00AA3BD0" w:rsidRDefault="00AA3BD0" w:rsidP="00AA3BD0">
      <w:pPr>
        <w:rPr>
          <w:b/>
          <w:sz w:val="20"/>
          <w:szCs w:val="20"/>
        </w:rPr>
      </w:pPr>
    </w:p>
    <w:p w:rsidR="00AA3BD0" w:rsidRDefault="00AA3BD0" w:rsidP="00AA3BD0">
      <w:pPr>
        <w:rPr>
          <w:b/>
          <w:sz w:val="20"/>
          <w:szCs w:val="20"/>
        </w:rPr>
      </w:pPr>
    </w:p>
    <w:p w:rsidR="00AA3BD0" w:rsidRDefault="00AA3BD0" w:rsidP="00AA3BD0">
      <w:pPr>
        <w:rPr>
          <w:b/>
          <w:sz w:val="20"/>
          <w:szCs w:val="20"/>
        </w:rPr>
      </w:pPr>
      <w:r>
        <w:rPr>
          <w:noProof/>
          <w:lang w:val="cs-CZ"/>
        </w:rPr>
        <mc:AlternateContent>
          <mc:Choice Requires="wps">
            <w:drawing>
              <wp:anchor distT="0" distB="0" distL="114300" distR="114300" simplePos="0" relativeHeight="251670528" behindDoc="0" locked="0" layoutInCell="1" allowOverlap="1" wp14:anchorId="507B3240" wp14:editId="2143AF66">
                <wp:simplePos x="0" y="0"/>
                <wp:positionH relativeFrom="column">
                  <wp:posOffset>0</wp:posOffset>
                </wp:positionH>
                <wp:positionV relativeFrom="paragraph">
                  <wp:posOffset>0</wp:posOffset>
                </wp:positionV>
                <wp:extent cx="5314950" cy="522605"/>
                <wp:effectExtent l="0" t="0" r="0" b="0"/>
                <wp:wrapNone/>
                <wp:docPr id="4" name="TextovéPole 28"/>
                <wp:cNvGraphicFramePr/>
                <a:graphic xmlns:a="http://schemas.openxmlformats.org/drawingml/2006/main">
                  <a:graphicData uri="http://schemas.microsoft.com/office/word/2010/wordprocessingShape">
                    <wps:wsp>
                      <wps:cNvSpPr txBox="1"/>
                      <wps:spPr>
                        <a:xfrm>
                          <a:off x="0" y="0"/>
                          <a:ext cx="5314950" cy="522605"/>
                        </a:xfrm>
                        <a:prstGeom prst="rect">
                          <a:avLst/>
                        </a:prstGeom>
                        <a:noFill/>
                      </wps:spPr>
                      <wps:txbx>
                        <w:txbxContent>
                          <w:p w:rsidR="00AA3BD0" w:rsidRDefault="00AA3BD0" w:rsidP="00AA3BD0">
                            <w:pPr>
                              <w:pStyle w:val="Normlnweb"/>
                              <w:spacing w:before="0" w:beforeAutospacing="0" w:after="0" w:afterAutospacing="0"/>
                            </w:pPr>
                            <w:r>
                              <w:rPr>
                                <w:rFonts w:ascii="Calibri" w:eastAsia="+mn-ea" w:hAnsi="Calibri" w:cs="+mn-cs"/>
                                <w:b/>
                                <w:bCs/>
                                <w:color w:val="404040"/>
                                <w:sz w:val="28"/>
                                <w:szCs w:val="28"/>
                              </w:rPr>
                              <w:t>Věnování se mobilnímu telefonu při řízení alespoň jednou týdně</w:t>
                            </w:r>
                          </w:p>
                        </w:txbxContent>
                      </wps:txbx>
                      <wps:bodyPr wrap="square" rtlCol="0">
                        <a:sp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7B3240" id="_x0000_s1028" type="#_x0000_t202" style="position:absolute;margin-left:0;margin-top:0;width:418.5pt;height:41.1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" filled="f" stroked="f">
                <v:textbox style="mso-fit-shape-to-text:t">
                  <w:txbxContent>
                    <w:p w:rsidR="00AA3BD0" w:rsidRDefault="00AA3BD0" w:rsidP="00AA3BD0">
                      <w:pPr>
                        <w:pStyle w:val="Normlnweb"/>
                        <w:spacing w:before="0" w:beforeAutospacing="0" w:after="0" w:afterAutospacing="0"/>
                      </w:pPr>
                      <w:r>
                        <w:rPr>
                          <w:rFonts w:ascii="Calibri" w:eastAsia="+mn-ea" w:hAnsi="Calibri" w:cs="+mn-cs"/>
                          <w:b/>
                          <w:bCs/>
                          <w:color w:val="404040"/>
                          <w:sz w:val="28"/>
                          <w:szCs w:val="28"/>
                        </w:rPr>
                        <w:t>Věnování se mobilnímu telefonu při řízení alespoň jednou týdně</w:t>
                      </w:r>
                    </w:p>
                  </w:txbxContent>
                </v:textbox>
              </v:shape>
            </w:pict>
          </mc:Fallback>
        </mc:AlternateContent>
      </w:r>
    </w:p>
    <w:p w:rsidR="00AA3BD0" w:rsidRDefault="00AA3BD0" w:rsidP="00AA3BD0">
      <w:pPr>
        <w:rPr>
          <w:b/>
          <w:sz w:val="20"/>
          <w:szCs w:val="20"/>
        </w:rPr>
      </w:pPr>
      <w:r>
        <w:rPr>
          <w:noProof/>
          <w:lang w:val="cs-CZ"/>
        </w:rPr>
        <w:drawing>
          <wp:anchor distT="0" distB="0" distL="114300" distR="114300" simplePos="0" relativeHeight="251666432" behindDoc="1" locked="0" layoutInCell="1" allowOverlap="1">
            <wp:simplePos x="0" y="0"/>
            <wp:positionH relativeFrom="column">
              <wp:posOffset>9525</wp:posOffset>
            </wp:positionH>
            <wp:positionV relativeFrom="paragraph">
              <wp:posOffset>140335</wp:posOffset>
            </wp:positionV>
            <wp:extent cx="3528060" cy="2499995"/>
            <wp:effectExtent l="0" t="0" r="0" b="0"/>
            <wp:wrapTight wrapText="bothSides">
              <wp:wrapPolygon edited="0">
                <wp:start x="0" y="0"/>
                <wp:lineTo x="0" y="21397"/>
                <wp:lineTo x="21460" y="21397"/>
                <wp:lineTo x="21460" y="0"/>
                <wp:lineTo x="0" y="0"/>
              </wp:wrapPolygon>
            </wp:wrapTight>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p w:rsidR="00AA3BD0" w:rsidRDefault="00AA3BD0" w:rsidP="00AA3BD0">
      <w:pPr>
        <w:rPr>
          <w:b/>
          <w:sz w:val="20"/>
          <w:szCs w:val="20"/>
        </w:rPr>
      </w:pPr>
    </w:p>
    <w:p w:rsidR="00AA3BD0" w:rsidRDefault="00AA3BD0" w:rsidP="00AA3BD0">
      <w:pPr>
        <w:rPr>
          <w:b/>
          <w:sz w:val="20"/>
          <w:szCs w:val="20"/>
        </w:rPr>
      </w:pPr>
    </w:p>
    <w:p w:rsidR="00AA3BD0" w:rsidRDefault="00AA3BD0" w:rsidP="00AA3BD0">
      <w:pPr>
        <w:rPr>
          <w:b/>
          <w:sz w:val="20"/>
          <w:szCs w:val="20"/>
        </w:rPr>
      </w:pPr>
    </w:p>
    <w:p w:rsidR="00AA3BD0" w:rsidRDefault="00AA3BD0" w:rsidP="00AA3BD0">
      <w:pPr>
        <w:rPr>
          <w:b/>
          <w:sz w:val="20"/>
          <w:szCs w:val="20"/>
        </w:rPr>
      </w:pPr>
    </w:p>
    <w:p w:rsidR="00AA3BD0" w:rsidRDefault="00AA3BD0" w:rsidP="00AA3BD0">
      <w:pPr>
        <w:rPr>
          <w:b/>
          <w:sz w:val="20"/>
          <w:szCs w:val="20"/>
        </w:rPr>
      </w:pPr>
    </w:p>
    <w:p w:rsidR="00AA3BD0" w:rsidRDefault="00AA3BD0" w:rsidP="00AA3BD0">
      <w:pPr>
        <w:rPr>
          <w:b/>
          <w:sz w:val="20"/>
          <w:szCs w:val="20"/>
        </w:rPr>
      </w:pPr>
    </w:p>
    <w:p w:rsidR="00AA3BD0" w:rsidRDefault="00AA3BD0" w:rsidP="00AA3BD0">
      <w:pPr>
        <w:rPr>
          <w:b/>
          <w:sz w:val="20"/>
          <w:szCs w:val="20"/>
        </w:rPr>
      </w:pPr>
    </w:p>
    <w:p w:rsidR="00AA3BD0" w:rsidRDefault="00AA3BD0" w:rsidP="00AA3BD0">
      <w:pPr>
        <w:rPr>
          <w:b/>
          <w:sz w:val="20"/>
          <w:szCs w:val="20"/>
        </w:rPr>
      </w:pPr>
    </w:p>
    <w:p w:rsidR="00AA3BD0" w:rsidRDefault="00AA3BD0" w:rsidP="00AA3BD0">
      <w:pPr>
        <w:rPr>
          <w:b/>
          <w:sz w:val="20"/>
          <w:szCs w:val="20"/>
        </w:rPr>
      </w:pPr>
    </w:p>
    <w:p w:rsidR="00AA3BD0" w:rsidRDefault="00AA3BD0" w:rsidP="00AA3BD0">
      <w:pPr>
        <w:rPr>
          <w:b/>
          <w:sz w:val="20"/>
          <w:szCs w:val="20"/>
        </w:rPr>
      </w:pPr>
    </w:p>
    <w:p w:rsidR="00AA3BD0" w:rsidRDefault="00AA3BD0" w:rsidP="00AA3BD0">
      <w:pPr>
        <w:rPr>
          <w:b/>
          <w:sz w:val="20"/>
          <w:szCs w:val="20"/>
        </w:rPr>
      </w:pPr>
    </w:p>
    <w:p w:rsidR="00AA3BD0" w:rsidRDefault="00AA3BD0" w:rsidP="00AA3BD0">
      <w:pPr>
        <w:rPr>
          <w:b/>
          <w:sz w:val="20"/>
          <w:szCs w:val="20"/>
        </w:rPr>
      </w:pPr>
    </w:p>
    <w:p w:rsidR="00AA3BD0" w:rsidRDefault="00AA3BD0" w:rsidP="00AA3BD0">
      <w:pPr>
        <w:rPr>
          <w:b/>
          <w:sz w:val="20"/>
          <w:szCs w:val="20"/>
        </w:rPr>
      </w:pPr>
    </w:p>
    <w:p w:rsidR="00AA3BD0" w:rsidRDefault="00AA3BD0" w:rsidP="00AA3BD0">
      <w:pPr>
        <w:rPr>
          <w:b/>
          <w:sz w:val="20"/>
          <w:szCs w:val="20"/>
        </w:rPr>
      </w:pPr>
    </w:p>
    <w:p w:rsidR="00AA3BD0" w:rsidRDefault="00AA3BD0" w:rsidP="00AA3BD0">
      <w:pPr>
        <w:rPr>
          <w:b/>
          <w:sz w:val="20"/>
          <w:szCs w:val="20"/>
        </w:rPr>
      </w:pPr>
    </w:p>
    <w:p w:rsidR="00AA3BD0" w:rsidRDefault="00AA3BD0" w:rsidP="00AA3BD0">
      <w:pPr>
        <w:rPr>
          <w:b/>
          <w:sz w:val="20"/>
          <w:szCs w:val="20"/>
        </w:rPr>
      </w:pPr>
    </w:p>
    <w:p w:rsidR="00AA3BD0" w:rsidRPr="00C377C5" w:rsidRDefault="00AA3BD0" w:rsidP="00AA3BD0">
      <w:pPr>
        <w:rPr>
          <w:b/>
          <w:sz w:val="20"/>
          <w:szCs w:val="20"/>
        </w:rPr>
      </w:pPr>
      <w:r w:rsidRPr="00C377C5">
        <w:rPr>
          <w:b/>
          <w:sz w:val="20"/>
          <w:szCs w:val="20"/>
        </w:rPr>
        <w:t>Zdroj: výzkum Ipsos pro SAFEROAD ČR, červenec 2017</w:t>
      </w:r>
    </w:p>
    <w:p w:rsidR="00AA3BD0" w:rsidRDefault="00AA3BD0" w:rsidP="00AA3BD0">
      <w:pPr>
        <w:rPr>
          <w:b/>
          <w:sz w:val="20"/>
          <w:szCs w:val="20"/>
        </w:rPr>
      </w:pPr>
    </w:p>
    <w:p w:rsidR="00AA3BD0" w:rsidRDefault="00AA3BD0" w:rsidP="00AA3BD0">
      <w:pPr>
        <w:rPr>
          <w:b/>
          <w:sz w:val="20"/>
          <w:szCs w:val="20"/>
        </w:rPr>
      </w:pPr>
    </w:p>
    <w:p w:rsidR="00AA3BD0" w:rsidRDefault="00AA3BD0" w:rsidP="00AA3BD0">
      <w:pPr>
        <w:rPr>
          <w:b/>
          <w:sz w:val="20"/>
          <w:szCs w:val="20"/>
        </w:rPr>
      </w:pPr>
    </w:p>
    <w:p w:rsidR="00AA3BD0" w:rsidRDefault="00AA3BD0" w:rsidP="00AA3BD0">
      <w:pPr>
        <w:rPr>
          <w:b/>
          <w:sz w:val="20"/>
          <w:szCs w:val="20"/>
        </w:rPr>
      </w:pPr>
      <w:r>
        <w:rPr>
          <w:noProof/>
          <w:lang w:val="cs-CZ"/>
        </w:rPr>
        <mc:AlternateContent>
          <mc:Choice Requires="wps">
            <w:drawing>
              <wp:anchor distT="0" distB="0" distL="114300" distR="114300" simplePos="0" relativeHeight="251665408" behindDoc="0" locked="0" layoutInCell="1" allowOverlap="1" wp14:anchorId="1C2A4D2C" wp14:editId="1DDF419E">
                <wp:simplePos x="0" y="0"/>
                <wp:positionH relativeFrom="page">
                  <wp:align>right</wp:align>
                </wp:positionH>
                <wp:positionV relativeFrom="paragraph">
                  <wp:posOffset>81280</wp:posOffset>
                </wp:positionV>
                <wp:extent cx="6477000" cy="307340"/>
                <wp:effectExtent l="0" t="0" r="0" b="0"/>
                <wp:wrapNone/>
                <wp:docPr id="16" name="TextovéPole 15"/>
                <wp:cNvGraphicFramePr/>
                <a:graphic xmlns:a="http://schemas.openxmlformats.org/drawingml/2006/main">
                  <a:graphicData uri="http://schemas.microsoft.com/office/word/2010/wordprocessingShape">
                    <wps:wsp>
                      <wps:cNvSpPr txBox="1"/>
                      <wps:spPr>
                        <a:xfrm>
                          <a:off x="0" y="0"/>
                          <a:ext cx="6477000" cy="307340"/>
                        </a:xfrm>
                        <a:prstGeom prst="rect">
                          <a:avLst/>
                        </a:prstGeom>
                        <a:noFill/>
                      </wps:spPr>
                      <wps:txbx>
                        <w:txbxContent>
                          <w:p w:rsidR="00635752" w:rsidRDefault="00635752" w:rsidP="00635752">
                            <w:pPr>
                              <w:pStyle w:val="Normlnweb"/>
                              <w:spacing w:before="0" w:beforeAutospacing="0" w:after="0" w:afterAutospacing="0"/>
                            </w:pPr>
                            <w:r>
                              <w:rPr>
                                <w:rFonts w:ascii="Calibri" w:eastAsia="+mn-ea" w:hAnsi="Calibri" w:cs="+mn-cs"/>
                                <w:b/>
                                <w:bCs/>
                                <w:color w:val="404040"/>
                                <w:sz w:val="28"/>
                                <w:szCs w:val="28"/>
                              </w:rPr>
                              <w:t>Věnování se mobilnímu telefonu</w:t>
                            </w:r>
                            <w:r w:rsidR="00AA3BD0">
                              <w:rPr>
                                <w:rFonts w:ascii="Calibri" w:eastAsia="+mn-ea" w:hAnsi="Calibri" w:cs="+mn-cs"/>
                                <w:b/>
                                <w:bCs/>
                                <w:color w:val="404040"/>
                                <w:sz w:val="28"/>
                                <w:szCs w:val="28"/>
                              </w:rPr>
                              <w:t xml:space="preserve"> při řízení </w:t>
                            </w:r>
                            <w:r w:rsidR="00166902">
                              <w:rPr>
                                <w:rFonts w:ascii="Calibri" w:eastAsia="+mn-ea" w:hAnsi="Calibri" w:cs="+mn-cs"/>
                                <w:b/>
                                <w:bCs/>
                                <w:color w:val="404040"/>
                                <w:sz w:val="28"/>
                                <w:szCs w:val="28"/>
                              </w:rPr>
                              <w:t>alespoň občas</w:t>
                            </w:r>
                          </w:p>
                        </w:txbxContent>
                      </wps:txbx>
                      <wps:bodyPr wrap="square" rtlCol="0">
                        <a:sp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2A4D2C" id="TextovéPole 15" o:spid="_x0000_s1029" type="#_x0000_t202" style="position:absolute;margin-left:458.8pt;margin-top:6.4pt;width:510pt;height:24.2pt;z-index:251665408;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" filled="f" stroked="f">
                <v:textbox style="mso-fit-shape-to-text:t">
                  <w:txbxContent>
                    <w:p w:rsidR="00635752" w:rsidRDefault="00635752" w:rsidP="00635752">
                      <w:pPr>
                        <w:pStyle w:val="Normlnweb"/>
                        <w:spacing w:before="0" w:beforeAutospacing="0" w:after="0" w:afterAutospacing="0"/>
                      </w:pPr>
                      <w:r>
                        <w:rPr>
                          <w:rFonts w:ascii="Calibri" w:eastAsia="+mn-ea" w:hAnsi="Calibri" w:cs="+mn-cs"/>
                          <w:b/>
                          <w:bCs/>
                          <w:color w:val="404040"/>
                          <w:sz w:val="28"/>
                          <w:szCs w:val="28"/>
                        </w:rPr>
                        <w:t>Věnování se mobilnímu telefonu</w:t>
                      </w:r>
                      <w:r w:rsidR="00AA3BD0">
                        <w:rPr>
                          <w:rFonts w:ascii="Calibri" w:eastAsia="+mn-ea" w:hAnsi="Calibri" w:cs="+mn-cs"/>
                          <w:b/>
                          <w:bCs/>
                          <w:color w:val="404040"/>
                          <w:sz w:val="28"/>
                          <w:szCs w:val="28"/>
                        </w:rPr>
                        <w:t xml:space="preserve"> při řízení </w:t>
                      </w:r>
                      <w:r w:rsidR="00166902">
                        <w:rPr>
                          <w:rFonts w:ascii="Calibri" w:eastAsia="+mn-ea" w:hAnsi="Calibri" w:cs="+mn-cs"/>
                          <w:b/>
                          <w:bCs/>
                          <w:color w:val="404040"/>
                          <w:sz w:val="28"/>
                          <w:szCs w:val="28"/>
                        </w:rPr>
                        <w:t>alespoň občas</w:t>
                      </w:r>
                    </w:p>
                  </w:txbxContent>
                </v:textbox>
                <w10:wrap anchorx="page"/>
              </v:shape>
            </w:pict>
          </mc:Fallback>
        </mc:AlternateContent>
      </w:r>
    </w:p>
    <w:p w:rsidR="00AA3BD0" w:rsidRDefault="00AA3BD0" w:rsidP="00AA3BD0">
      <w:pPr>
        <w:rPr>
          <w:b/>
          <w:sz w:val="20"/>
          <w:szCs w:val="20"/>
        </w:rPr>
      </w:pPr>
    </w:p>
    <w:p w:rsidR="00AA3BD0" w:rsidRDefault="00AA3BD0" w:rsidP="00AA3BD0">
      <w:pPr>
        <w:rPr>
          <w:b/>
          <w:sz w:val="20"/>
          <w:szCs w:val="20"/>
        </w:rPr>
      </w:pPr>
      <w:r>
        <w:rPr>
          <w:noProof/>
          <w:lang w:val="cs-CZ"/>
        </w:rPr>
        <w:drawing>
          <wp:anchor distT="0" distB="0" distL="114300" distR="114300" simplePos="0" relativeHeight="251667456" behindDoc="1" locked="0" layoutInCell="1" allowOverlap="1">
            <wp:simplePos x="0" y="0"/>
            <wp:positionH relativeFrom="margin">
              <wp:posOffset>66675</wp:posOffset>
            </wp:positionH>
            <wp:positionV relativeFrom="paragraph">
              <wp:posOffset>170180</wp:posOffset>
            </wp:positionV>
            <wp:extent cx="5686425" cy="1562100"/>
            <wp:effectExtent l="0" t="0" r="0" b="0"/>
            <wp:wrapTight wrapText="bothSides">
              <wp:wrapPolygon edited="0">
                <wp:start x="0" y="0"/>
                <wp:lineTo x="0" y="21337"/>
                <wp:lineTo x="21491" y="21337"/>
                <wp:lineTo x="21491" y="0"/>
                <wp:lineTo x="0" y="0"/>
              </wp:wrapPolygon>
            </wp:wrapTight>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rsidR="00AA3BD0" w:rsidRDefault="00AA3BD0" w:rsidP="00AA3BD0">
      <w:pPr>
        <w:rPr>
          <w:b/>
          <w:sz w:val="20"/>
          <w:szCs w:val="20"/>
        </w:rPr>
      </w:pPr>
    </w:p>
    <w:p w:rsidR="00AA3BD0" w:rsidRPr="00C377C5" w:rsidRDefault="00AA3BD0" w:rsidP="00AA3BD0">
      <w:pPr>
        <w:rPr>
          <w:b/>
          <w:sz w:val="20"/>
          <w:szCs w:val="20"/>
        </w:rPr>
      </w:pPr>
      <w:r>
        <w:rPr>
          <w:b/>
          <w:sz w:val="20"/>
          <w:szCs w:val="20"/>
        </w:rPr>
        <w:t xml:space="preserve">Zdroj: </w:t>
      </w:r>
      <w:r w:rsidRPr="00C377C5">
        <w:rPr>
          <w:b/>
          <w:sz w:val="20"/>
          <w:szCs w:val="20"/>
        </w:rPr>
        <w:t>výzkum Ipsos pro SAFEROAD ČR, červenec 2017</w:t>
      </w:r>
    </w:p>
    <w:p w:rsidR="00E73A7D" w:rsidRDefault="00E73A7D" w:rsidP="00635752">
      <w:pPr>
        <w:rPr>
          <w:sz w:val="20"/>
          <w:szCs w:val="20"/>
        </w:rPr>
      </w:pPr>
    </w:p>
    <w:p w:rsidR="00DF5A27" w:rsidRDefault="00DF5A27" w:rsidP="00635752">
      <w:pPr>
        <w:rPr>
          <w:sz w:val="20"/>
          <w:szCs w:val="20"/>
        </w:rPr>
      </w:pPr>
    </w:p>
    <w:sectPr w:rsidR="00DF5A27" w:rsidSect="00805336">
      <w:pgSz w:w="11909" w:h="16834"/>
      <w:pgMar w:top="993" w:right="1440" w:bottom="851"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A7D"/>
    <w:rsid w:val="000077D6"/>
    <w:rsid w:val="000F7D23"/>
    <w:rsid w:val="00105620"/>
    <w:rsid w:val="00166902"/>
    <w:rsid w:val="00202CC6"/>
    <w:rsid w:val="00233756"/>
    <w:rsid w:val="00246CD3"/>
    <w:rsid w:val="002F32A4"/>
    <w:rsid w:val="00326494"/>
    <w:rsid w:val="00347ACC"/>
    <w:rsid w:val="00373CCC"/>
    <w:rsid w:val="003D5E6B"/>
    <w:rsid w:val="003F6D33"/>
    <w:rsid w:val="00467DC3"/>
    <w:rsid w:val="0050390A"/>
    <w:rsid w:val="005E652D"/>
    <w:rsid w:val="00635752"/>
    <w:rsid w:val="006E31DC"/>
    <w:rsid w:val="007543E6"/>
    <w:rsid w:val="00805336"/>
    <w:rsid w:val="008120D6"/>
    <w:rsid w:val="008761D2"/>
    <w:rsid w:val="008820C4"/>
    <w:rsid w:val="008F14D1"/>
    <w:rsid w:val="00981CCE"/>
    <w:rsid w:val="009E2B97"/>
    <w:rsid w:val="00A47B0D"/>
    <w:rsid w:val="00A725D1"/>
    <w:rsid w:val="00A92838"/>
    <w:rsid w:val="00AA3BD0"/>
    <w:rsid w:val="00B73076"/>
    <w:rsid w:val="00BC49A6"/>
    <w:rsid w:val="00BD66D4"/>
    <w:rsid w:val="00C07A27"/>
    <w:rsid w:val="00C377C5"/>
    <w:rsid w:val="00CC0FB8"/>
    <w:rsid w:val="00D24E81"/>
    <w:rsid w:val="00D60BF7"/>
    <w:rsid w:val="00DD57E1"/>
    <w:rsid w:val="00DD5D8F"/>
    <w:rsid w:val="00DF5A27"/>
    <w:rsid w:val="00E73A7D"/>
    <w:rsid w:val="00EB47F4"/>
    <w:rsid w:val="00EC2976"/>
    <w:rsid w:val="00EC37A5"/>
    <w:rsid w:val="00F33A5E"/>
    <w:rsid w:val="00F37B4A"/>
    <w:rsid w:val="00F812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01E16C-7442-4BFF-B2C1-407A71205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cs" w:eastAsia="cs-CZ"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titul">
    <w:name w:val="Subtitle"/>
    <w:basedOn w:val="Normln"/>
    <w:next w:val="Normln"/>
    <w:pPr>
      <w:keepNext/>
      <w:keepLines/>
      <w:spacing w:after="320"/>
    </w:pPr>
    <w:rPr>
      <w:color w:val="666666"/>
      <w:sz w:val="30"/>
      <w:szCs w:val="30"/>
    </w:rPr>
  </w:style>
  <w:style w:type="paragraph" w:styleId="Normlnweb">
    <w:name w:val="Normal (Web)"/>
    <w:basedOn w:val="Normln"/>
    <w:uiPriority w:val="99"/>
    <w:semiHidden/>
    <w:unhideWhenUsed/>
    <w:rsid w:val="0063575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EastAsia" w:hAnsi="Times New Roman" w:cs="Times New Roman"/>
      <w:color w:val="auto"/>
      <w:sz w:val="24"/>
      <w:szCs w:val="24"/>
      <w:lang w:val="cs-CZ"/>
    </w:rPr>
  </w:style>
  <w:style w:type="paragraph" w:styleId="Textbubliny">
    <w:name w:val="Balloon Text"/>
    <w:basedOn w:val="Normln"/>
    <w:link w:val="TextbublinyChar"/>
    <w:uiPriority w:val="99"/>
    <w:semiHidden/>
    <w:unhideWhenUsed/>
    <w:rsid w:val="005E652D"/>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E652D"/>
    <w:rPr>
      <w:rFonts w:ascii="Segoe UI" w:hAnsi="Segoe UI" w:cs="Segoe UI"/>
      <w:sz w:val="18"/>
      <w:szCs w:val="18"/>
    </w:rPr>
  </w:style>
  <w:style w:type="character" w:styleId="Hypertextovodkaz">
    <w:name w:val="Hyperlink"/>
    <w:basedOn w:val="Standardnpsmoodstavce"/>
    <w:uiPriority w:val="99"/>
    <w:unhideWhenUsed/>
    <w:rsid w:val="00F33A5E"/>
    <w:rPr>
      <w:color w:val="0563C1" w:themeColor="hyperlink"/>
      <w:u w:val="single"/>
    </w:rPr>
  </w:style>
  <w:style w:type="character" w:customStyle="1" w:styleId="UnresolvedMention">
    <w:name w:val="Unresolved Mention"/>
    <w:basedOn w:val="Standardnpsmoodstavce"/>
    <w:uiPriority w:val="99"/>
    <w:semiHidden/>
    <w:unhideWhenUsed/>
    <w:rsid w:val="00F33A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337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webSettings" Target="webSettings.xml"/><Relationship Id="rId7" Type="http://schemas.openxmlformats.org/officeDocument/2006/relationships/chart" Target="charts/chart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hyperlink" Target="http://www.tymbezpecnosti.cz" TargetMode="Externa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List_aplikace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List_aplikace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List_aplikace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List_aplikace_Microsoft_Excel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7024541308624207"/>
          <c:y val="0.17518032184458138"/>
          <c:w val="0.4499934678039888"/>
          <c:h val="0.62306787849783063"/>
        </c:manualLayout>
      </c:layout>
      <c:doughnutChart>
        <c:varyColors val="1"/>
        <c:ser>
          <c:idx val="0"/>
          <c:order val="0"/>
          <c:tx>
            <c:strRef>
              <c:f>List1!$B$1</c:f>
              <c:strCache>
                <c:ptCount val="1"/>
                <c:pt idx="0">
                  <c:v>Sloupec1</c:v>
                </c:pt>
              </c:strCache>
            </c:strRef>
          </c:tx>
          <c:dPt>
            <c:idx val="0"/>
            <c:bubble3D val="0"/>
            <c:spPr>
              <a:solidFill>
                <a:schemeClr val="accent1"/>
              </a:solidFill>
            </c:spPr>
            <c:extLst xmlns:c16r2="http://schemas.microsoft.com/office/drawing/2015/06/chart">
              <c:ext xmlns:c16="http://schemas.microsoft.com/office/drawing/2014/chart" uri="{C3380CC4-5D6E-409C-BE32-E72D297353CC}">
                <c16:uniqueId val="{00000001-C134-474D-86CE-C1C31D8BE47B}"/>
              </c:ext>
            </c:extLst>
          </c:dPt>
          <c:dPt>
            <c:idx val="1"/>
            <c:bubble3D val="0"/>
            <c:spPr>
              <a:solidFill>
                <a:schemeClr val="accent2"/>
              </a:solidFill>
            </c:spPr>
            <c:extLst xmlns:c16r2="http://schemas.microsoft.com/office/drawing/2015/06/chart">
              <c:ext xmlns:c16="http://schemas.microsoft.com/office/drawing/2014/chart" uri="{C3380CC4-5D6E-409C-BE32-E72D297353CC}">
                <c16:uniqueId val="{00000003-C134-474D-86CE-C1C31D8BE47B}"/>
              </c:ext>
            </c:extLst>
          </c:dPt>
          <c:dPt>
            <c:idx val="2"/>
            <c:bubble3D val="0"/>
            <c:spPr>
              <a:solidFill>
                <a:schemeClr val="accent4"/>
              </a:solidFill>
            </c:spPr>
            <c:extLst xmlns:c16r2="http://schemas.microsoft.com/office/drawing/2015/06/chart">
              <c:ext xmlns:c16="http://schemas.microsoft.com/office/drawing/2014/chart" uri="{C3380CC4-5D6E-409C-BE32-E72D297353CC}">
                <c16:uniqueId val="{00000005-C134-474D-86CE-C1C31D8BE47B}"/>
              </c:ext>
            </c:extLst>
          </c:dPt>
          <c:dPt>
            <c:idx val="3"/>
            <c:bubble3D val="0"/>
            <c:spPr>
              <a:solidFill>
                <a:schemeClr val="accent3"/>
              </a:solidFill>
            </c:spPr>
            <c:extLst xmlns:c16r2="http://schemas.microsoft.com/office/drawing/2015/06/chart">
              <c:ext xmlns:c16="http://schemas.microsoft.com/office/drawing/2014/chart" uri="{C3380CC4-5D6E-409C-BE32-E72D297353CC}">
                <c16:uniqueId val="{00000007-C134-474D-86CE-C1C31D8BE47B}"/>
              </c:ext>
            </c:extLst>
          </c:dPt>
          <c:dPt>
            <c:idx val="4"/>
            <c:bubble3D val="0"/>
            <c:spPr>
              <a:solidFill>
                <a:schemeClr val="accent5"/>
              </a:solidFill>
            </c:spPr>
            <c:extLst xmlns:c16r2="http://schemas.microsoft.com/office/drawing/2015/06/chart">
              <c:ext xmlns:c16="http://schemas.microsoft.com/office/drawing/2014/chart" uri="{C3380CC4-5D6E-409C-BE32-E72D297353CC}">
                <c16:uniqueId val="{00000009-C134-474D-86CE-C1C31D8BE47B}"/>
              </c:ext>
            </c:extLst>
          </c:dPt>
          <c:dPt>
            <c:idx val="5"/>
            <c:bubble3D val="0"/>
            <c:spPr>
              <a:solidFill>
                <a:schemeClr val="tx2">
                  <a:lumMod val="50000"/>
                </a:schemeClr>
              </a:solidFill>
            </c:spPr>
            <c:extLst xmlns:c16r2="http://schemas.microsoft.com/office/drawing/2015/06/chart">
              <c:ext xmlns:c16="http://schemas.microsoft.com/office/drawing/2014/chart" uri="{C3380CC4-5D6E-409C-BE32-E72D297353CC}">
                <c16:uniqueId val="{0000000B-C134-474D-86CE-C1C31D8BE47B}"/>
              </c:ext>
            </c:extLst>
          </c:dPt>
          <c:dPt>
            <c:idx val="6"/>
            <c:bubble3D val="0"/>
            <c:spPr>
              <a:solidFill>
                <a:schemeClr val="bg1">
                  <a:lumMod val="85000"/>
                </a:schemeClr>
              </a:solidFill>
            </c:spPr>
            <c:extLst xmlns:c16r2="http://schemas.microsoft.com/office/drawing/2015/06/chart">
              <c:ext xmlns:c16="http://schemas.microsoft.com/office/drawing/2014/chart" uri="{C3380CC4-5D6E-409C-BE32-E72D297353CC}">
                <c16:uniqueId val="{0000000D-C134-474D-86CE-C1C31D8BE47B}"/>
              </c:ext>
            </c:extLst>
          </c:dPt>
          <c:dLbls>
            <c:dLbl>
              <c:idx val="4"/>
              <c:layout>
                <c:manualLayout>
                  <c:x val="-0.13945478926114152"/>
                  <c:y val="-0.14019097593144922"/>
                </c:manualLayout>
              </c:layout>
              <c:numFmt formatCode="#,##0&quot;%&quot;;\-#,##0" sourceLinked="0"/>
              <c:spPr>
                <a:noFill/>
                <a:ln>
                  <a:noFill/>
                </a:ln>
                <a:effectLst/>
              </c:spPr>
              <c:txPr>
                <a:bodyPr/>
                <a:lstStyle/>
                <a:p>
                  <a:pPr>
                    <a:defRPr sz="1400">
                      <a:solidFill>
                        <a:schemeClr val="tx2">
                          <a:lumMod val="75000"/>
                          <a:lumOff val="25000"/>
                        </a:schemeClr>
                      </a:solidFill>
                    </a:defRPr>
                  </a:pPr>
                  <a:endParaRPr lang="cs-CZ"/>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C134-474D-86CE-C1C31D8BE47B}"/>
                </c:ext>
                <c:ext xmlns:c15="http://schemas.microsoft.com/office/drawing/2012/chart" uri="{CE6537A1-D6FC-4f65-9D91-7224C49458BB}"/>
              </c:extLst>
            </c:dLbl>
            <c:dLbl>
              <c:idx val="5"/>
              <c:layout>
                <c:manualLayout>
                  <c:x val="-4.1016114488571037E-2"/>
                  <c:y val="-0.16280242366232811"/>
                </c:manualLayout>
              </c:layout>
              <c:numFmt formatCode="#,##0&quot;%&quot;;\-#,##0" sourceLinked="0"/>
              <c:spPr>
                <a:noFill/>
                <a:ln>
                  <a:noFill/>
                </a:ln>
                <a:effectLst/>
              </c:spPr>
              <c:txPr>
                <a:bodyPr/>
                <a:lstStyle/>
                <a:p>
                  <a:pPr>
                    <a:defRPr sz="1400">
                      <a:solidFill>
                        <a:schemeClr val="tx2">
                          <a:lumMod val="75000"/>
                          <a:lumOff val="25000"/>
                        </a:schemeClr>
                      </a:solidFill>
                    </a:defRPr>
                  </a:pPr>
                  <a:endParaRPr lang="cs-CZ"/>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C134-474D-86CE-C1C31D8BE47B}"/>
                </c:ext>
                <c:ext xmlns:c15="http://schemas.microsoft.com/office/drawing/2012/chart" uri="{CE6537A1-D6FC-4f65-9D91-7224C49458BB}"/>
              </c:extLst>
            </c:dLbl>
            <c:dLbl>
              <c:idx val="6"/>
              <c:layout>
                <c:manualLayout>
                  <c:x val="3.2812891590856832E-2"/>
                  <c:y val="-0.15828013411615233"/>
                </c:manualLayout>
              </c:layout>
              <c:numFmt formatCode="#,##0&quot;%&quot;;\-#,##0" sourceLinked="0"/>
              <c:spPr>
                <a:noFill/>
                <a:ln>
                  <a:noFill/>
                </a:ln>
                <a:effectLst/>
              </c:spPr>
              <c:txPr>
                <a:bodyPr/>
                <a:lstStyle/>
                <a:p>
                  <a:pPr>
                    <a:defRPr sz="1400">
                      <a:solidFill>
                        <a:schemeClr val="tx2">
                          <a:lumMod val="75000"/>
                          <a:lumOff val="25000"/>
                        </a:schemeClr>
                      </a:solidFill>
                    </a:defRPr>
                  </a:pPr>
                  <a:endParaRPr lang="cs-CZ"/>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C134-474D-86CE-C1C31D8BE47B}"/>
                </c:ext>
                <c:ext xmlns:c15="http://schemas.microsoft.com/office/drawing/2012/chart" uri="{CE6537A1-D6FC-4f65-9D91-7224C49458BB}"/>
              </c:extLst>
            </c:dLbl>
            <c:numFmt formatCode="#,##0&quot;%&quot;;\-#,##0" sourceLinked="0"/>
            <c:spPr>
              <a:noFill/>
              <a:ln>
                <a:noFill/>
              </a:ln>
              <a:effectLst/>
            </c:spPr>
            <c:txPr>
              <a:bodyPr/>
              <a:lstStyle/>
              <a:p>
                <a:pPr>
                  <a:defRPr sz="1400">
                    <a:solidFill>
                      <a:schemeClr val="bg1"/>
                    </a:solidFill>
                  </a:defRPr>
                </a:pPr>
                <a:endParaRPr lang="cs-CZ"/>
              </a:p>
            </c:txPr>
            <c:showLegendKey val="0"/>
            <c:showVal val="1"/>
            <c:showCatName val="0"/>
            <c:showSerName val="0"/>
            <c:showPercent val="0"/>
            <c:showBubbleSize val="0"/>
            <c:showLeaderLines val="1"/>
            <c:leaderLines>
              <c:spPr>
                <a:ln>
                  <a:solidFill>
                    <a:schemeClr val="tx2">
                      <a:lumMod val="75000"/>
                      <a:lumOff val="25000"/>
                    </a:schemeClr>
                  </a:solidFill>
                </a:ln>
              </c:spPr>
            </c:leaderLines>
            <c:extLst xmlns:c16r2="http://schemas.microsoft.com/office/drawing/2015/06/chart">
              <c:ext xmlns:c15="http://schemas.microsoft.com/office/drawing/2012/chart" uri="{CE6537A1-D6FC-4f65-9D91-7224C49458BB}"/>
            </c:extLst>
          </c:dLbls>
          <c:cat>
            <c:strRef>
              <c:f>List1!$A$2:$A$8</c:f>
              <c:strCache>
                <c:ptCount val="7"/>
                <c:pt idx="0">
                  <c:v>Řidič</c:v>
                </c:pt>
                <c:pt idx="1">
                  <c:v>Špatný stav vozovky</c:v>
                </c:pt>
                <c:pt idx="2">
                  <c:v>Ostatní neukáznění řidiči</c:v>
                </c:pt>
                <c:pt idx="3">
                  <c:v>Ostatní účastníci silničního provozu </c:v>
                </c:pt>
                <c:pt idx="4">
                  <c:v>Technický stav vozidla</c:v>
                </c:pt>
                <c:pt idx="5">
                  <c:v>Situace kolem vozovky</c:v>
                </c:pt>
                <c:pt idx="6">
                  <c:v>Počasí </c:v>
                </c:pt>
              </c:strCache>
            </c:strRef>
          </c:cat>
          <c:val>
            <c:numRef>
              <c:f>List1!$B$2:$B$8</c:f>
              <c:numCache>
                <c:formatCode>0.0</c:formatCode>
                <c:ptCount val="7"/>
                <c:pt idx="0">
                  <c:v>49.248417721518997</c:v>
                </c:pt>
                <c:pt idx="1">
                  <c:v>5.6962025316456</c:v>
                </c:pt>
                <c:pt idx="2">
                  <c:v>34.216772151899001</c:v>
                </c:pt>
                <c:pt idx="3">
                  <c:v>6.1708860759494</c:v>
                </c:pt>
                <c:pt idx="4">
                  <c:v>1.8196202531646</c:v>
                </c:pt>
                <c:pt idx="5">
                  <c:v>0.51424050632911</c:v>
                </c:pt>
                <c:pt idx="6">
                  <c:v>2.3338607594937</c:v>
                </c:pt>
              </c:numCache>
            </c:numRef>
          </c:val>
          <c:extLst xmlns:c16r2="http://schemas.microsoft.com/office/drawing/2015/06/chart">
            <c:ext xmlns:c16="http://schemas.microsoft.com/office/drawing/2014/chart" uri="{C3380CC4-5D6E-409C-BE32-E72D297353CC}">
              <c16:uniqueId val="{0000000E-C134-474D-86CE-C1C31D8BE47B}"/>
            </c:ext>
          </c:extLst>
        </c:ser>
        <c:dLbls>
          <c:showLegendKey val="0"/>
          <c:showVal val="0"/>
          <c:showCatName val="0"/>
          <c:showSerName val="0"/>
          <c:showPercent val="0"/>
          <c:showBubbleSize val="0"/>
          <c:showLeaderLines val="1"/>
        </c:dLbls>
        <c:firstSliceAng val="0"/>
        <c:holeSize val="50"/>
      </c:doughnutChart>
    </c:plotArea>
    <c:legend>
      <c:legendPos val="l"/>
      <c:layout>
        <c:manualLayout>
          <c:xMode val="edge"/>
          <c:yMode val="edge"/>
          <c:x val="2.4609668693142621E-2"/>
          <c:y val="6.5764060403544905E-2"/>
          <c:w val="0.42484436050895036"/>
          <c:h val="0.90917248510849225"/>
        </c:manualLayout>
      </c:layout>
      <c:overlay val="0"/>
      <c:txPr>
        <a:bodyPr/>
        <a:lstStyle/>
        <a:p>
          <a:pPr>
            <a:defRPr sz="1100">
              <a:solidFill>
                <a:schemeClr val="tx2">
                  <a:lumMod val="75000"/>
                  <a:lumOff val="25000"/>
                </a:schemeClr>
              </a:solidFill>
            </a:defRPr>
          </a:pPr>
          <a:endParaRPr lang="cs-CZ"/>
        </a:p>
      </c:txPr>
    </c:legend>
    <c:plotVisOnly val="1"/>
    <c:dispBlanksAs val="gap"/>
    <c:showDLblsOverMax val="0"/>
  </c:chart>
  <c:spPr>
    <a:ln>
      <a:noFill/>
    </a:ln>
  </c:spPr>
  <c:txPr>
    <a:bodyPr/>
    <a:lstStyle/>
    <a:p>
      <a:pPr>
        <a:defRPr sz="1800"/>
      </a:pPr>
      <a:endParaRPr lang="cs-CZ"/>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302865240145288"/>
          <c:y val="0.18422490093693294"/>
          <c:w val="0.4499934678039888"/>
          <c:h val="0.62306787849783063"/>
        </c:manualLayout>
      </c:layout>
      <c:doughnutChart>
        <c:varyColors val="1"/>
        <c:ser>
          <c:idx val="0"/>
          <c:order val="0"/>
          <c:tx>
            <c:strRef>
              <c:f>List1!$B$1</c:f>
              <c:strCache>
                <c:ptCount val="1"/>
                <c:pt idx="0">
                  <c:v>Sloupec1</c:v>
                </c:pt>
              </c:strCache>
            </c:strRef>
          </c:tx>
          <c:dPt>
            <c:idx val="0"/>
            <c:bubble3D val="0"/>
            <c:spPr>
              <a:solidFill>
                <a:schemeClr val="accent1"/>
              </a:solidFill>
            </c:spPr>
            <c:extLst xmlns:c16r2="http://schemas.microsoft.com/office/drawing/2015/06/chart">
              <c:ext xmlns:c16="http://schemas.microsoft.com/office/drawing/2014/chart" uri="{C3380CC4-5D6E-409C-BE32-E72D297353CC}">
                <c16:uniqueId val="{00000001-55CF-44FE-8C1B-6EE0B58CC125}"/>
              </c:ext>
            </c:extLst>
          </c:dPt>
          <c:dPt>
            <c:idx val="1"/>
            <c:bubble3D val="0"/>
            <c:spPr>
              <a:solidFill>
                <a:schemeClr val="accent2"/>
              </a:solidFill>
            </c:spPr>
            <c:extLst xmlns:c16r2="http://schemas.microsoft.com/office/drawing/2015/06/chart">
              <c:ext xmlns:c16="http://schemas.microsoft.com/office/drawing/2014/chart" uri="{C3380CC4-5D6E-409C-BE32-E72D297353CC}">
                <c16:uniqueId val="{00000003-55CF-44FE-8C1B-6EE0B58CC125}"/>
              </c:ext>
            </c:extLst>
          </c:dPt>
          <c:dPt>
            <c:idx val="2"/>
            <c:bubble3D val="0"/>
            <c:spPr>
              <a:solidFill>
                <a:schemeClr val="accent4"/>
              </a:solidFill>
            </c:spPr>
            <c:extLst xmlns:c16r2="http://schemas.microsoft.com/office/drawing/2015/06/chart">
              <c:ext xmlns:c16="http://schemas.microsoft.com/office/drawing/2014/chart" uri="{C3380CC4-5D6E-409C-BE32-E72D297353CC}">
                <c16:uniqueId val="{00000005-55CF-44FE-8C1B-6EE0B58CC125}"/>
              </c:ext>
            </c:extLst>
          </c:dPt>
          <c:dPt>
            <c:idx val="3"/>
            <c:bubble3D val="0"/>
            <c:spPr>
              <a:solidFill>
                <a:schemeClr val="accent3"/>
              </a:solidFill>
            </c:spPr>
            <c:extLst xmlns:c16r2="http://schemas.microsoft.com/office/drawing/2015/06/chart">
              <c:ext xmlns:c16="http://schemas.microsoft.com/office/drawing/2014/chart" uri="{C3380CC4-5D6E-409C-BE32-E72D297353CC}">
                <c16:uniqueId val="{00000007-55CF-44FE-8C1B-6EE0B58CC125}"/>
              </c:ext>
            </c:extLst>
          </c:dPt>
          <c:dPt>
            <c:idx val="4"/>
            <c:bubble3D val="0"/>
            <c:spPr>
              <a:solidFill>
                <a:schemeClr val="accent5"/>
              </a:solidFill>
            </c:spPr>
            <c:extLst xmlns:c16r2="http://schemas.microsoft.com/office/drawing/2015/06/chart">
              <c:ext xmlns:c16="http://schemas.microsoft.com/office/drawing/2014/chart" uri="{C3380CC4-5D6E-409C-BE32-E72D297353CC}">
                <c16:uniqueId val="{00000009-55CF-44FE-8C1B-6EE0B58CC125}"/>
              </c:ext>
            </c:extLst>
          </c:dPt>
          <c:dPt>
            <c:idx val="5"/>
            <c:bubble3D val="0"/>
            <c:spPr>
              <a:solidFill>
                <a:schemeClr val="tx2">
                  <a:lumMod val="50000"/>
                </a:schemeClr>
              </a:solidFill>
            </c:spPr>
            <c:extLst xmlns:c16r2="http://schemas.microsoft.com/office/drawing/2015/06/chart">
              <c:ext xmlns:c16="http://schemas.microsoft.com/office/drawing/2014/chart" uri="{C3380CC4-5D6E-409C-BE32-E72D297353CC}">
                <c16:uniqueId val="{0000000B-55CF-44FE-8C1B-6EE0B58CC125}"/>
              </c:ext>
            </c:extLst>
          </c:dPt>
          <c:dPt>
            <c:idx val="6"/>
            <c:bubble3D val="0"/>
            <c:spPr>
              <a:solidFill>
                <a:schemeClr val="bg1">
                  <a:lumMod val="85000"/>
                </a:schemeClr>
              </a:solidFill>
            </c:spPr>
            <c:extLst xmlns:c16r2="http://schemas.microsoft.com/office/drawing/2015/06/chart">
              <c:ext xmlns:c16="http://schemas.microsoft.com/office/drawing/2014/chart" uri="{C3380CC4-5D6E-409C-BE32-E72D297353CC}">
                <c16:uniqueId val="{0000000D-55CF-44FE-8C1B-6EE0B58CC125}"/>
              </c:ext>
            </c:extLst>
          </c:dPt>
          <c:dLbls>
            <c:dLbl>
              <c:idx val="0"/>
              <c:layout>
                <c:manualLayout>
                  <c:x val="1.2475717783546296E-2"/>
                  <c:y val="-9.044579092351562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5CF-44FE-8C1B-6EE0B58CC125}"/>
                </c:ext>
                <c:ext xmlns:c15="http://schemas.microsoft.com/office/drawing/2012/chart" uri="{CE6537A1-D6FC-4f65-9D91-7224C49458BB}"/>
              </c:extLst>
            </c:dLbl>
            <c:dLbl>
              <c:idx val="4"/>
              <c:layout>
                <c:manualLayout>
                  <c:x val="-5.3407369023383295E-3"/>
                  <c:y val="-9.044579092351562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55CF-44FE-8C1B-6EE0B58CC125}"/>
                </c:ext>
                <c:ext xmlns:c15="http://schemas.microsoft.com/office/drawing/2012/chart" uri="{CE6537A1-D6FC-4f65-9D91-7224C49458BB}"/>
              </c:extLst>
            </c:dLbl>
            <c:dLbl>
              <c:idx val="5"/>
              <c:layout>
                <c:manualLayout>
                  <c:x val="-4.1016114488571037E-2"/>
                  <c:y val="-0.16280242366232811"/>
                </c:manualLayout>
              </c:layout>
              <c:numFmt formatCode="#,##0&quot;%&quot;;\-#,##0" sourceLinked="0"/>
              <c:spPr>
                <a:noFill/>
                <a:ln>
                  <a:noFill/>
                </a:ln>
                <a:effectLst/>
              </c:spPr>
              <c:txPr>
                <a:bodyPr/>
                <a:lstStyle/>
                <a:p>
                  <a:pPr>
                    <a:defRPr sz="1400">
                      <a:solidFill>
                        <a:schemeClr val="tx2">
                          <a:lumMod val="75000"/>
                          <a:lumOff val="25000"/>
                        </a:schemeClr>
                      </a:solidFill>
                    </a:defRPr>
                  </a:pPr>
                  <a:endParaRPr lang="cs-CZ"/>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55CF-44FE-8C1B-6EE0B58CC125}"/>
                </c:ext>
                <c:ext xmlns:c15="http://schemas.microsoft.com/office/drawing/2012/chart" uri="{CE6537A1-D6FC-4f65-9D91-7224C49458BB}"/>
              </c:extLst>
            </c:dLbl>
            <c:dLbl>
              <c:idx val="6"/>
              <c:layout>
                <c:manualLayout>
                  <c:x val="3.2812891590856832E-2"/>
                  <c:y val="-0.15828013411615233"/>
                </c:manualLayout>
              </c:layout>
              <c:numFmt formatCode="#,##0&quot;%&quot;;\-#,##0" sourceLinked="0"/>
              <c:spPr>
                <a:noFill/>
                <a:ln>
                  <a:noFill/>
                </a:ln>
                <a:effectLst/>
              </c:spPr>
              <c:txPr>
                <a:bodyPr/>
                <a:lstStyle/>
                <a:p>
                  <a:pPr>
                    <a:defRPr sz="1400">
                      <a:solidFill>
                        <a:schemeClr val="tx2">
                          <a:lumMod val="75000"/>
                          <a:lumOff val="25000"/>
                        </a:schemeClr>
                      </a:solidFill>
                    </a:defRPr>
                  </a:pPr>
                  <a:endParaRPr lang="cs-CZ"/>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55CF-44FE-8C1B-6EE0B58CC125}"/>
                </c:ext>
                <c:ext xmlns:c15="http://schemas.microsoft.com/office/drawing/2012/chart" uri="{CE6537A1-D6FC-4f65-9D91-7224C49458BB}"/>
              </c:extLst>
            </c:dLbl>
            <c:numFmt formatCode="#,##0&quot;%&quot;;\-#,##0" sourceLinked="0"/>
            <c:spPr>
              <a:noFill/>
              <a:ln>
                <a:noFill/>
              </a:ln>
              <a:effectLst/>
            </c:spPr>
            <c:txPr>
              <a:bodyPr/>
              <a:lstStyle/>
              <a:p>
                <a:pPr>
                  <a:defRPr sz="1400">
                    <a:solidFill>
                      <a:schemeClr val="bg1"/>
                    </a:solidFill>
                  </a:defRPr>
                </a:pPr>
                <a:endParaRPr lang="cs-CZ"/>
              </a:p>
            </c:txPr>
            <c:showLegendKey val="0"/>
            <c:showVal val="1"/>
            <c:showCatName val="0"/>
            <c:showSerName val="0"/>
            <c:showPercent val="0"/>
            <c:showBubbleSize val="0"/>
            <c:showLeaderLines val="1"/>
            <c:leaderLines>
              <c:spPr>
                <a:ln>
                  <a:solidFill>
                    <a:schemeClr val="tx2">
                      <a:lumMod val="75000"/>
                      <a:lumOff val="25000"/>
                    </a:schemeClr>
                  </a:solidFill>
                </a:ln>
              </c:spPr>
            </c:leaderLines>
            <c:extLst xmlns:c16r2="http://schemas.microsoft.com/office/drawing/2015/06/chart">
              <c:ext xmlns:c15="http://schemas.microsoft.com/office/drawing/2012/chart" uri="{CE6537A1-D6FC-4f65-9D91-7224C49458BB}"/>
            </c:extLst>
          </c:dLbls>
          <c:cat>
            <c:strRef>
              <c:f>List1!$A$2:$A$6</c:f>
              <c:strCache>
                <c:ptCount val="5"/>
                <c:pt idx="0">
                  <c:v>Věk řidiče</c:v>
                </c:pt>
                <c:pt idx="1">
                  <c:v>Délka praxe a zkušenosti s řízením vozidla</c:v>
                </c:pt>
                <c:pt idx="2">
                  <c:v>Psychické rozpoložení (stres, únava atd.)</c:v>
                </c:pt>
                <c:pt idx="3">
                  <c:v>Povaha řidiče (agresivita, disciplína, klidná povaha, atd.)</c:v>
                </c:pt>
                <c:pt idx="4">
                  <c:v>Senzorické schopnosti (zrak, sluch, pohotovost atd.)</c:v>
                </c:pt>
              </c:strCache>
            </c:strRef>
          </c:cat>
          <c:val>
            <c:numRef>
              <c:f>List1!$B$2:$B$6</c:f>
              <c:numCache>
                <c:formatCode>0.0</c:formatCode>
                <c:ptCount val="5"/>
                <c:pt idx="0">
                  <c:v>2.9523809523810001</c:v>
                </c:pt>
                <c:pt idx="1">
                  <c:v>20.666666666666998</c:v>
                </c:pt>
                <c:pt idx="2">
                  <c:v>26.380952380951999</c:v>
                </c:pt>
                <c:pt idx="3">
                  <c:v>45.047619047619001</c:v>
                </c:pt>
                <c:pt idx="4">
                  <c:v>4.9523809523809996</c:v>
                </c:pt>
              </c:numCache>
            </c:numRef>
          </c:val>
          <c:extLst xmlns:c16r2="http://schemas.microsoft.com/office/drawing/2015/06/chart">
            <c:ext xmlns:c16="http://schemas.microsoft.com/office/drawing/2014/chart" uri="{C3380CC4-5D6E-409C-BE32-E72D297353CC}">
              <c16:uniqueId val="{0000000E-55CF-44FE-8C1B-6EE0B58CC125}"/>
            </c:ext>
          </c:extLst>
        </c:ser>
        <c:dLbls>
          <c:showLegendKey val="0"/>
          <c:showVal val="0"/>
          <c:showCatName val="0"/>
          <c:showSerName val="0"/>
          <c:showPercent val="0"/>
          <c:showBubbleSize val="0"/>
          <c:showLeaderLines val="1"/>
        </c:dLbls>
        <c:firstSliceAng val="0"/>
        <c:holeSize val="50"/>
      </c:doughnutChart>
    </c:plotArea>
    <c:legend>
      <c:legendPos val="l"/>
      <c:layout>
        <c:manualLayout>
          <c:xMode val="edge"/>
          <c:yMode val="edge"/>
          <c:x val="1.8371722361250616E-2"/>
          <c:y val="4.7674902218841769E-2"/>
          <c:w val="0.5028175966561147"/>
          <c:h val="0.91162449186557615"/>
        </c:manualLayout>
      </c:layout>
      <c:overlay val="0"/>
      <c:txPr>
        <a:bodyPr/>
        <a:lstStyle/>
        <a:p>
          <a:pPr>
            <a:defRPr sz="1100">
              <a:solidFill>
                <a:schemeClr val="tx2">
                  <a:lumMod val="75000"/>
                  <a:lumOff val="25000"/>
                </a:schemeClr>
              </a:solidFill>
            </a:defRPr>
          </a:pPr>
          <a:endParaRPr lang="cs-CZ"/>
        </a:p>
      </c:txPr>
    </c:legend>
    <c:plotVisOnly val="1"/>
    <c:dispBlanksAs val="gap"/>
    <c:showDLblsOverMax val="0"/>
  </c:chart>
  <c:spPr>
    <a:ln>
      <a:noFill/>
    </a:ln>
  </c:spPr>
  <c:txPr>
    <a:bodyPr/>
    <a:lstStyle/>
    <a:p>
      <a:pPr>
        <a:defRPr sz="1800"/>
      </a:pPr>
      <a:endParaRPr lang="cs-CZ"/>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4940875412275812"/>
          <c:y val="7.1167662282538402E-2"/>
          <c:w val="0.58878241414962496"/>
          <c:h val="0.8022082304245397"/>
        </c:manualLayout>
      </c:layout>
      <c:doughnutChart>
        <c:varyColors val="1"/>
        <c:ser>
          <c:idx val="0"/>
          <c:order val="0"/>
          <c:tx>
            <c:strRef>
              <c:f>List1!$B$1</c:f>
              <c:strCache>
                <c:ptCount val="1"/>
                <c:pt idx="0">
                  <c:v>Sloupec1</c:v>
                </c:pt>
              </c:strCache>
            </c:strRef>
          </c:tx>
          <c:dPt>
            <c:idx val="0"/>
            <c:bubble3D val="0"/>
            <c:spPr>
              <a:solidFill>
                <a:schemeClr val="accent1"/>
              </a:solidFill>
            </c:spPr>
            <c:extLst xmlns:c16r2="http://schemas.microsoft.com/office/drawing/2015/06/chart">
              <c:ext xmlns:c16="http://schemas.microsoft.com/office/drawing/2014/chart" uri="{C3380CC4-5D6E-409C-BE32-E72D297353CC}">
                <c16:uniqueId val="{00000001-176D-46D9-AFC1-EDA5B916F0BB}"/>
              </c:ext>
            </c:extLst>
          </c:dPt>
          <c:dPt>
            <c:idx val="1"/>
            <c:bubble3D val="0"/>
            <c:spPr>
              <a:solidFill>
                <a:schemeClr val="accent2"/>
              </a:solidFill>
            </c:spPr>
            <c:extLst xmlns:c16r2="http://schemas.microsoft.com/office/drawing/2015/06/chart">
              <c:ext xmlns:c16="http://schemas.microsoft.com/office/drawing/2014/chart" uri="{C3380CC4-5D6E-409C-BE32-E72D297353CC}">
                <c16:uniqueId val="{00000003-176D-46D9-AFC1-EDA5B916F0BB}"/>
              </c:ext>
            </c:extLst>
          </c:dPt>
          <c:dPt>
            <c:idx val="2"/>
            <c:bubble3D val="0"/>
            <c:spPr>
              <a:solidFill>
                <a:schemeClr val="accent4"/>
              </a:solidFill>
            </c:spPr>
            <c:extLst xmlns:c16r2="http://schemas.microsoft.com/office/drawing/2015/06/chart">
              <c:ext xmlns:c16="http://schemas.microsoft.com/office/drawing/2014/chart" uri="{C3380CC4-5D6E-409C-BE32-E72D297353CC}">
                <c16:uniqueId val="{00000005-176D-46D9-AFC1-EDA5B916F0BB}"/>
              </c:ext>
            </c:extLst>
          </c:dPt>
          <c:dPt>
            <c:idx val="3"/>
            <c:bubble3D val="0"/>
            <c:spPr>
              <a:solidFill>
                <a:schemeClr val="accent3"/>
              </a:solidFill>
            </c:spPr>
            <c:extLst xmlns:c16r2="http://schemas.microsoft.com/office/drawing/2015/06/chart">
              <c:ext xmlns:c16="http://schemas.microsoft.com/office/drawing/2014/chart" uri="{C3380CC4-5D6E-409C-BE32-E72D297353CC}">
                <c16:uniqueId val="{00000007-176D-46D9-AFC1-EDA5B916F0BB}"/>
              </c:ext>
            </c:extLst>
          </c:dPt>
          <c:dPt>
            <c:idx val="4"/>
            <c:bubble3D val="0"/>
            <c:spPr>
              <a:solidFill>
                <a:schemeClr val="accent5"/>
              </a:solidFill>
            </c:spPr>
            <c:extLst xmlns:c16r2="http://schemas.microsoft.com/office/drawing/2015/06/chart">
              <c:ext xmlns:c16="http://schemas.microsoft.com/office/drawing/2014/chart" uri="{C3380CC4-5D6E-409C-BE32-E72D297353CC}">
                <c16:uniqueId val="{00000009-176D-46D9-AFC1-EDA5B916F0BB}"/>
              </c:ext>
            </c:extLst>
          </c:dPt>
          <c:dPt>
            <c:idx val="5"/>
            <c:bubble3D val="0"/>
            <c:spPr>
              <a:solidFill>
                <a:schemeClr val="tx2">
                  <a:lumMod val="50000"/>
                </a:schemeClr>
              </a:solidFill>
            </c:spPr>
            <c:extLst xmlns:c16r2="http://schemas.microsoft.com/office/drawing/2015/06/chart">
              <c:ext xmlns:c16="http://schemas.microsoft.com/office/drawing/2014/chart" uri="{C3380CC4-5D6E-409C-BE32-E72D297353CC}">
                <c16:uniqueId val="{0000000B-176D-46D9-AFC1-EDA5B916F0BB}"/>
              </c:ext>
            </c:extLst>
          </c:dPt>
          <c:dPt>
            <c:idx val="6"/>
            <c:bubble3D val="0"/>
            <c:spPr>
              <a:solidFill>
                <a:schemeClr val="bg1">
                  <a:lumMod val="85000"/>
                </a:schemeClr>
              </a:solidFill>
            </c:spPr>
            <c:extLst xmlns:c16r2="http://schemas.microsoft.com/office/drawing/2015/06/chart">
              <c:ext xmlns:c16="http://schemas.microsoft.com/office/drawing/2014/chart" uri="{C3380CC4-5D6E-409C-BE32-E72D297353CC}">
                <c16:uniqueId val="{0000000D-176D-46D9-AFC1-EDA5B916F0BB}"/>
              </c:ext>
            </c:extLst>
          </c:dPt>
          <c:dLbls>
            <c:dLbl>
              <c:idx val="0"/>
              <c:layout>
                <c:manualLayout>
                  <c:x val="1.2475717783546296E-2"/>
                  <c:y val="-9.044579092351562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176D-46D9-AFC1-EDA5B916F0BB}"/>
                </c:ext>
                <c:ext xmlns:c15="http://schemas.microsoft.com/office/drawing/2012/chart" uri="{CE6537A1-D6FC-4f65-9D91-7224C49458BB}"/>
              </c:extLst>
            </c:dLbl>
            <c:dLbl>
              <c:idx val="4"/>
              <c:layout>
                <c:manualLayout>
                  <c:x val="-5.3407369023383295E-3"/>
                  <c:y val="-9.044579092351562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176D-46D9-AFC1-EDA5B916F0BB}"/>
                </c:ext>
                <c:ext xmlns:c15="http://schemas.microsoft.com/office/drawing/2012/chart" uri="{CE6537A1-D6FC-4f65-9D91-7224C49458BB}"/>
              </c:extLst>
            </c:dLbl>
            <c:dLbl>
              <c:idx val="5"/>
              <c:layout>
                <c:manualLayout>
                  <c:x val="-4.1016114488571037E-2"/>
                  <c:y val="-0.16280242366232811"/>
                </c:manualLayout>
              </c:layout>
              <c:numFmt formatCode="#,##0&quot;%&quot;;\-#,##0" sourceLinked="0"/>
              <c:spPr>
                <a:noFill/>
                <a:ln>
                  <a:noFill/>
                </a:ln>
                <a:effectLst/>
              </c:spPr>
              <c:txPr>
                <a:bodyPr/>
                <a:lstStyle/>
                <a:p>
                  <a:pPr>
                    <a:defRPr sz="1400">
                      <a:solidFill>
                        <a:schemeClr val="tx2">
                          <a:lumMod val="75000"/>
                          <a:lumOff val="25000"/>
                        </a:schemeClr>
                      </a:solidFill>
                    </a:defRPr>
                  </a:pPr>
                  <a:endParaRPr lang="cs-CZ"/>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176D-46D9-AFC1-EDA5B916F0BB}"/>
                </c:ext>
                <c:ext xmlns:c15="http://schemas.microsoft.com/office/drawing/2012/chart" uri="{CE6537A1-D6FC-4f65-9D91-7224C49458BB}"/>
              </c:extLst>
            </c:dLbl>
            <c:dLbl>
              <c:idx val="6"/>
              <c:layout>
                <c:manualLayout>
                  <c:x val="3.2812891590856832E-2"/>
                  <c:y val="-0.15828013411615233"/>
                </c:manualLayout>
              </c:layout>
              <c:numFmt formatCode="#,##0&quot;%&quot;;\-#,##0" sourceLinked="0"/>
              <c:spPr>
                <a:noFill/>
                <a:ln>
                  <a:noFill/>
                </a:ln>
                <a:effectLst/>
              </c:spPr>
              <c:txPr>
                <a:bodyPr/>
                <a:lstStyle/>
                <a:p>
                  <a:pPr>
                    <a:defRPr sz="1400">
                      <a:solidFill>
                        <a:schemeClr val="tx2">
                          <a:lumMod val="75000"/>
                          <a:lumOff val="25000"/>
                        </a:schemeClr>
                      </a:solidFill>
                    </a:defRPr>
                  </a:pPr>
                  <a:endParaRPr lang="cs-CZ"/>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176D-46D9-AFC1-EDA5B916F0BB}"/>
                </c:ext>
                <c:ext xmlns:c15="http://schemas.microsoft.com/office/drawing/2012/chart" uri="{CE6537A1-D6FC-4f65-9D91-7224C49458BB}"/>
              </c:extLst>
            </c:dLbl>
            <c:numFmt formatCode="#,##0&quot;%&quot;;\-#,##0" sourceLinked="0"/>
            <c:spPr>
              <a:noFill/>
              <a:ln>
                <a:noFill/>
              </a:ln>
              <a:effectLst/>
            </c:spPr>
            <c:txPr>
              <a:bodyPr/>
              <a:lstStyle/>
              <a:p>
                <a:pPr>
                  <a:defRPr sz="1400">
                    <a:solidFill>
                      <a:schemeClr val="bg1"/>
                    </a:solidFill>
                  </a:defRPr>
                </a:pPr>
                <a:endParaRPr lang="cs-CZ"/>
              </a:p>
            </c:txPr>
            <c:showLegendKey val="0"/>
            <c:showVal val="1"/>
            <c:showCatName val="0"/>
            <c:showSerName val="0"/>
            <c:showPercent val="0"/>
            <c:showBubbleSize val="0"/>
            <c:showLeaderLines val="1"/>
            <c:leaderLines>
              <c:spPr>
                <a:ln>
                  <a:solidFill>
                    <a:schemeClr val="tx2">
                      <a:lumMod val="75000"/>
                      <a:lumOff val="25000"/>
                    </a:schemeClr>
                  </a:solidFill>
                </a:ln>
              </c:spPr>
            </c:leaderLines>
            <c:extLst xmlns:c16r2="http://schemas.microsoft.com/office/drawing/2015/06/chart">
              <c:ext xmlns:c15="http://schemas.microsoft.com/office/drawing/2012/chart" uri="{CE6537A1-D6FC-4f65-9D91-7224C49458BB}"/>
            </c:extLst>
          </c:dLbls>
          <c:cat>
            <c:strRef>
              <c:f>List1!$A$2:$A$3</c:f>
              <c:strCache>
                <c:ptCount val="2"/>
                <c:pt idx="0">
                  <c:v>Ano</c:v>
                </c:pt>
                <c:pt idx="1">
                  <c:v>Ne</c:v>
                </c:pt>
              </c:strCache>
            </c:strRef>
          </c:cat>
          <c:val>
            <c:numRef>
              <c:f>List1!$B$2:$B$3</c:f>
              <c:numCache>
                <c:formatCode>0.0</c:formatCode>
                <c:ptCount val="2"/>
                <c:pt idx="0">
                  <c:v>35.700000000000003</c:v>
                </c:pt>
                <c:pt idx="1">
                  <c:v>64.3</c:v>
                </c:pt>
              </c:numCache>
            </c:numRef>
          </c:val>
          <c:extLst xmlns:c16r2="http://schemas.microsoft.com/office/drawing/2015/06/chart">
            <c:ext xmlns:c16="http://schemas.microsoft.com/office/drawing/2014/chart" uri="{C3380CC4-5D6E-409C-BE32-E72D297353CC}">
              <c16:uniqueId val="{0000000E-176D-46D9-AFC1-EDA5B916F0BB}"/>
            </c:ext>
          </c:extLst>
        </c:ser>
        <c:dLbls>
          <c:showLegendKey val="0"/>
          <c:showVal val="0"/>
          <c:showCatName val="0"/>
          <c:showSerName val="0"/>
          <c:showPercent val="0"/>
          <c:showBubbleSize val="0"/>
          <c:showLeaderLines val="1"/>
        </c:dLbls>
        <c:firstSliceAng val="0"/>
        <c:holeSize val="50"/>
      </c:doughnutChart>
    </c:plotArea>
    <c:legend>
      <c:legendPos val="l"/>
      <c:layout>
        <c:manualLayout>
          <c:xMode val="edge"/>
          <c:yMode val="edge"/>
          <c:x val="9.3962120825609535E-2"/>
          <c:y val="4.7674095348190698E-2"/>
          <c:w val="0.18468679317568412"/>
          <c:h val="0.17449129583892389"/>
        </c:manualLayout>
      </c:layout>
      <c:overlay val="0"/>
      <c:txPr>
        <a:bodyPr/>
        <a:lstStyle/>
        <a:p>
          <a:pPr>
            <a:defRPr sz="1100">
              <a:solidFill>
                <a:schemeClr val="tx2">
                  <a:lumMod val="75000"/>
                  <a:lumOff val="25000"/>
                </a:schemeClr>
              </a:solidFill>
            </a:defRPr>
          </a:pPr>
          <a:endParaRPr lang="cs-CZ"/>
        </a:p>
      </c:txPr>
    </c:legend>
    <c:plotVisOnly val="1"/>
    <c:dispBlanksAs val="gap"/>
    <c:showDLblsOverMax val="0"/>
  </c:chart>
  <c:spPr>
    <a:ln>
      <a:noFill/>
    </a:ln>
  </c:spPr>
  <c:txPr>
    <a:bodyPr/>
    <a:lstStyle/>
    <a:p>
      <a:pPr>
        <a:defRPr sz="1800"/>
      </a:pPr>
      <a:endParaRPr lang="cs-CZ"/>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7585864580997724"/>
          <c:y val="6.776515762747029E-2"/>
          <c:w val="0.46107387330352551"/>
          <c:h val="0.92270866252584505"/>
        </c:manualLayout>
      </c:layout>
      <c:barChart>
        <c:barDir val="bar"/>
        <c:grouping val="stacked"/>
        <c:varyColors val="0"/>
        <c:ser>
          <c:idx val="4"/>
          <c:order val="0"/>
          <c:tx>
            <c:strRef>
              <c:f>List1!$A$2</c:f>
              <c:strCache>
                <c:ptCount val="1"/>
                <c:pt idx="0">
                  <c:v>Ano</c:v>
                </c:pt>
              </c:strCache>
            </c:strRef>
          </c:tx>
          <c:spPr>
            <a:solidFill>
              <a:srgbClr val="008BCA"/>
            </a:solidFill>
          </c:spPr>
          <c:invertIfNegative val="0"/>
          <c:dLbls>
            <c:numFmt formatCode="#,##0&quot;%&quot;;\-#,##0" sourceLinked="0"/>
            <c:spPr>
              <a:noFill/>
              <a:ln>
                <a:noFill/>
              </a:ln>
              <a:effectLst/>
            </c:spPr>
            <c:txPr>
              <a:bodyPr/>
              <a:lstStyle/>
              <a:p>
                <a:pPr>
                  <a:defRPr>
                    <a:solidFill>
                      <a:schemeClr val="bg1"/>
                    </a:solidFill>
                  </a:defRPr>
                </a:pPr>
                <a:endParaRPr lang="cs-CZ"/>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List1!$B$1:$E$1</c:f>
              <c:strCache>
                <c:ptCount val="4"/>
                <c:pt idx="0">
                  <c:v>Telefonování (s hands free)</c:v>
                </c:pt>
                <c:pt idx="1">
                  <c:v>Telefonování (bez hands free)</c:v>
                </c:pt>
                <c:pt idx="2">
                  <c:v>Psaní/čtení SMS</c:v>
                </c:pt>
                <c:pt idx="3">
                  <c:v>Internet, sociální sítě</c:v>
                </c:pt>
              </c:strCache>
            </c:strRef>
          </c:cat>
          <c:val>
            <c:numRef>
              <c:f>List1!$B$2:$E$2</c:f>
              <c:numCache>
                <c:formatCode>0.0</c:formatCode>
                <c:ptCount val="4"/>
                <c:pt idx="0">
                  <c:v>56.857142857142698</c:v>
                </c:pt>
                <c:pt idx="1">
                  <c:v>52.666666666666799</c:v>
                </c:pt>
                <c:pt idx="2">
                  <c:v>45.904761904761898</c:v>
                </c:pt>
                <c:pt idx="3">
                  <c:v>25.238095238094999</c:v>
                </c:pt>
              </c:numCache>
            </c:numRef>
          </c:val>
          <c:extLst xmlns:c16r2="http://schemas.microsoft.com/office/drawing/2015/06/chart">
            <c:ext xmlns:c16="http://schemas.microsoft.com/office/drawing/2014/chart" uri="{C3380CC4-5D6E-409C-BE32-E72D297353CC}">
              <c16:uniqueId val="{00000000-A0BA-4FE3-812F-DE1278D73A5C}"/>
            </c:ext>
          </c:extLst>
        </c:ser>
        <c:ser>
          <c:idx val="5"/>
          <c:order val="1"/>
          <c:tx>
            <c:strRef>
              <c:f>List1!$A$3</c:f>
              <c:strCache>
                <c:ptCount val="1"/>
                <c:pt idx="0">
                  <c:v>Ne</c:v>
                </c:pt>
              </c:strCache>
            </c:strRef>
          </c:tx>
          <c:spPr>
            <a:solidFill>
              <a:srgbClr val="FBB040"/>
            </a:solidFill>
          </c:spPr>
          <c:invertIfNegative val="0"/>
          <c:dLbls>
            <c:numFmt formatCode="#,##0&quot;%&quot;;\-#,##0" sourceLinked="0"/>
            <c:spPr>
              <a:noFill/>
              <a:ln>
                <a:noFill/>
              </a:ln>
              <a:effectLst/>
            </c:spPr>
            <c:txPr>
              <a:bodyPr/>
              <a:lstStyle/>
              <a:p>
                <a:pPr>
                  <a:defRPr>
                    <a:solidFill>
                      <a:schemeClr val="bg1"/>
                    </a:solidFill>
                  </a:defRPr>
                </a:pPr>
                <a:endParaRPr lang="cs-CZ"/>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List1!$B$1:$E$1</c:f>
              <c:strCache>
                <c:ptCount val="4"/>
                <c:pt idx="0">
                  <c:v>Telefonování (s hands free)</c:v>
                </c:pt>
                <c:pt idx="1">
                  <c:v>Telefonování (bez hands free)</c:v>
                </c:pt>
                <c:pt idx="2">
                  <c:v>Psaní/čtení SMS</c:v>
                </c:pt>
                <c:pt idx="3">
                  <c:v>Internet, sociální sítě</c:v>
                </c:pt>
              </c:strCache>
            </c:strRef>
          </c:cat>
          <c:val>
            <c:numRef>
              <c:f>List1!$B$3:$E$3</c:f>
              <c:numCache>
                <c:formatCode>0.0</c:formatCode>
                <c:ptCount val="4"/>
                <c:pt idx="0">
                  <c:v>43.142857142856997</c:v>
                </c:pt>
                <c:pt idx="1">
                  <c:v>47.333333333333002</c:v>
                </c:pt>
                <c:pt idx="2">
                  <c:v>54.095238095238003</c:v>
                </c:pt>
                <c:pt idx="3">
                  <c:v>74.761904761905001</c:v>
                </c:pt>
              </c:numCache>
            </c:numRef>
          </c:val>
          <c:extLst xmlns:c16r2="http://schemas.microsoft.com/office/drawing/2015/06/chart">
            <c:ext xmlns:c16="http://schemas.microsoft.com/office/drawing/2014/chart" uri="{C3380CC4-5D6E-409C-BE32-E72D297353CC}">
              <c16:uniqueId val="{00000001-A0BA-4FE3-812F-DE1278D73A5C}"/>
            </c:ext>
          </c:extLst>
        </c:ser>
        <c:dLbls>
          <c:dLblPos val="inBase"/>
          <c:showLegendKey val="0"/>
          <c:showVal val="1"/>
          <c:showCatName val="0"/>
          <c:showSerName val="0"/>
          <c:showPercent val="0"/>
          <c:showBubbleSize val="0"/>
        </c:dLbls>
        <c:gapWidth val="79"/>
        <c:overlap val="100"/>
        <c:axId val="312652904"/>
        <c:axId val="312653296"/>
      </c:barChart>
      <c:catAx>
        <c:axId val="312652904"/>
        <c:scaling>
          <c:orientation val="maxMin"/>
        </c:scaling>
        <c:delete val="0"/>
        <c:axPos val="l"/>
        <c:numFmt formatCode="General" sourceLinked="0"/>
        <c:majorTickMark val="out"/>
        <c:minorTickMark val="none"/>
        <c:tickLblPos val="nextTo"/>
        <c:spPr>
          <a:ln>
            <a:solidFill>
              <a:schemeClr val="tx2">
                <a:lumMod val="75000"/>
                <a:lumOff val="25000"/>
              </a:schemeClr>
            </a:solidFill>
          </a:ln>
        </c:spPr>
        <c:txPr>
          <a:bodyPr/>
          <a:lstStyle/>
          <a:p>
            <a:pPr>
              <a:defRPr sz="1100">
                <a:solidFill>
                  <a:schemeClr val="tx2">
                    <a:lumMod val="75000"/>
                    <a:lumOff val="25000"/>
                  </a:schemeClr>
                </a:solidFill>
              </a:defRPr>
            </a:pPr>
            <a:endParaRPr lang="cs-CZ"/>
          </a:p>
        </c:txPr>
        <c:crossAx val="312653296"/>
        <c:crosses val="autoZero"/>
        <c:auto val="1"/>
        <c:lblAlgn val="ctr"/>
        <c:lblOffset val="100"/>
        <c:noMultiLvlLbl val="0"/>
      </c:catAx>
      <c:valAx>
        <c:axId val="312653296"/>
        <c:scaling>
          <c:orientation val="minMax"/>
          <c:max val="101"/>
          <c:min val="0"/>
        </c:scaling>
        <c:delete val="1"/>
        <c:axPos val="t"/>
        <c:numFmt formatCode="#,##0&quot;%&quot;;\-#,##0" sourceLinked="0"/>
        <c:majorTickMark val="out"/>
        <c:minorTickMark val="none"/>
        <c:tickLblPos val="nextTo"/>
        <c:crossAx val="312652904"/>
        <c:crosses val="autoZero"/>
        <c:crossBetween val="between"/>
        <c:majorUnit val="10"/>
      </c:valAx>
    </c:plotArea>
    <c:legend>
      <c:legendPos val="r"/>
      <c:layout>
        <c:manualLayout>
          <c:xMode val="edge"/>
          <c:yMode val="edge"/>
          <c:x val="0.87667013985060926"/>
          <c:y val="0.16773300826936383"/>
          <c:w val="0.11600557468004942"/>
          <c:h val="0.48261539221823213"/>
        </c:manualLayout>
      </c:layout>
      <c:overlay val="0"/>
      <c:txPr>
        <a:bodyPr/>
        <a:lstStyle/>
        <a:p>
          <a:pPr>
            <a:defRPr sz="1100">
              <a:solidFill>
                <a:schemeClr val="tx2">
                  <a:lumMod val="75000"/>
                  <a:lumOff val="25000"/>
                </a:schemeClr>
              </a:solidFill>
            </a:defRPr>
          </a:pPr>
          <a:endParaRPr lang="cs-CZ"/>
        </a:p>
      </c:txPr>
    </c:legend>
    <c:plotVisOnly val="1"/>
    <c:dispBlanksAs val="gap"/>
    <c:showDLblsOverMax val="0"/>
  </c:chart>
  <c:spPr>
    <a:ln>
      <a:noFill/>
    </a:ln>
  </c:spPr>
  <c:txPr>
    <a:bodyPr/>
    <a:lstStyle/>
    <a:p>
      <a:pPr>
        <a:defRPr sz="1200">
          <a:solidFill>
            <a:srgbClr val="003399"/>
          </a:solidFill>
        </a:defRPr>
      </a:pPr>
      <a:endParaRPr lang="cs-CZ"/>
    </a:p>
  </c:txPr>
  <c:externalData r:id="rId2">
    <c:autoUpdate val="0"/>
  </c:externalData>
</c:chartSpace>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Ipsos">
    <a:dk1>
      <a:srgbClr val="003399"/>
    </a:dk1>
    <a:lt1>
      <a:srgbClr val="FFFFFF"/>
    </a:lt1>
    <a:dk2>
      <a:srgbClr val="000000"/>
    </a:dk2>
    <a:lt2>
      <a:srgbClr val="BABABA"/>
    </a:lt2>
    <a:accent1>
      <a:srgbClr val="008BCA"/>
    </a:accent1>
    <a:accent2>
      <a:srgbClr val="FBB040"/>
    </a:accent2>
    <a:accent3>
      <a:srgbClr val="ED6737"/>
    </a:accent3>
    <a:accent4>
      <a:srgbClr val="A1C46B"/>
    </a:accent4>
    <a:accent5>
      <a:srgbClr val="008E94"/>
    </a:accent5>
    <a:accent6>
      <a:srgbClr val="281051"/>
    </a:accent6>
    <a:hlink>
      <a:srgbClr val="0000FF"/>
    </a:hlink>
    <a:folHlink>
      <a:srgbClr val="800080"/>
    </a:folHlink>
  </a:clrScheme>
  <a:fontScheme name="Kancelář">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Ipsos">
    <a:dk1>
      <a:srgbClr val="003399"/>
    </a:dk1>
    <a:lt1>
      <a:srgbClr val="FFFFFF"/>
    </a:lt1>
    <a:dk2>
      <a:srgbClr val="000000"/>
    </a:dk2>
    <a:lt2>
      <a:srgbClr val="BABABA"/>
    </a:lt2>
    <a:accent1>
      <a:srgbClr val="008BCA"/>
    </a:accent1>
    <a:accent2>
      <a:srgbClr val="FBB040"/>
    </a:accent2>
    <a:accent3>
      <a:srgbClr val="ED6737"/>
    </a:accent3>
    <a:accent4>
      <a:srgbClr val="A1C46B"/>
    </a:accent4>
    <a:accent5>
      <a:srgbClr val="008E94"/>
    </a:accent5>
    <a:accent6>
      <a:srgbClr val="281051"/>
    </a:accent6>
    <a:hlink>
      <a:srgbClr val="0000FF"/>
    </a:hlink>
    <a:folHlink>
      <a:srgbClr val="800080"/>
    </a:folHlink>
  </a:clrScheme>
  <a:fontScheme name="Kancelář">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Ipsos">
    <a:dk1>
      <a:srgbClr val="003399"/>
    </a:dk1>
    <a:lt1>
      <a:srgbClr val="FFFFFF"/>
    </a:lt1>
    <a:dk2>
      <a:srgbClr val="000000"/>
    </a:dk2>
    <a:lt2>
      <a:srgbClr val="BABABA"/>
    </a:lt2>
    <a:accent1>
      <a:srgbClr val="008BCA"/>
    </a:accent1>
    <a:accent2>
      <a:srgbClr val="FBB040"/>
    </a:accent2>
    <a:accent3>
      <a:srgbClr val="ED6737"/>
    </a:accent3>
    <a:accent4>
      <a:srgbClr val="A1C46B"/>
    </a:accent4>
    <a:accent5>
      <a:srgbClr val="008E94"/>
    </a:accent5>
    <a:accent6>
      <a:srgbClr val="281051"/>
    </a:accent6>
    <a:hlink>
      <a:srgbClr val="0000FF"/>
    </a:hlink>
    <a:folHlink>
      <a:srgbClr val="800080"/>
    </a:folHlink>
  </a:clrScheme>
  <a:fontScheme name="Kancelář">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Ipsos">
    <a:dk1>
      <a:srgbClr val="003399"/>
    </a:dk1>
    <a:lt1>
      <a:srgbClr val="FFFFFF"/>
    </a:lt1>
    <a:dk2>
      <a:srgbClr val="000000"/>
    </a:dk2>
    <a:lt2>
      <a:srgbClr val="BABABA"/>
    </a:lt2>
    <a:accent1>
      <a:srgbClr val="008BCA"/>
    </a:accent1>
    <a:accent2>
      <a:srgbClr val="FBB040"/>
    </a:accent2>
    <a:accent3>
      <a:srgbClr val="ED6737"/>
    </a:accent3>
    <a:accent4>
      <a:srgbClr val="A1C46B"/>
    </a:accent4>
    <a:accent5>
      <a:srgbClr val="008E94"/>
    </a:accent5>
    <a:accent6>
      <a:srgbClr val="281051"/>
    </a:accent6>
    <a:hlink>
      <a:srgbClr val="0000FF"/>
    </a:hlink>
    <a:folHlink>
      <a:srgbClr val="800080"/>
    </a:folHlink>
  </a:clrScheme>
  <a:fontScheme name="Kancelář">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3525</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Polák - Ipsos</dc:creator>
  <cp:lastModifiedBy>Láďa</cp:lastModifiedBy>
  <cp:revision>2</cp:revision>
  <dcterms:created xsi:type="dcterms:W3CDTF">2017-08-15T09:42:00Z</dcterms:created>
  <dcterms:modified xsi:type="dcterms:W3CDTF">2017-08-15T09:42:00Z</dcterms:modified>
</cp:coreProperties>
</file>